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BEFORE THE UNITED STATES OF AMERICA</w:t>
      </w:r>
    </w:p>
    <w:p>
      <w:pPr>
        <w:pStyle w:val="Normal"/>
        <w:jc w:val="center"/>
        <w:rPr>
          <w:b/>
        </w:rPr>
      </w:pPr>
      <w:r>
        <w:rPr>
          <w:b/>
        </w:rPr>
        <w:t>FEDERAL ENERGY REGULATORY COMMISSION</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both"/>
        <w:rPr>
          <w:b/>
        </w:rPr>
      </w:pPr>
      <w:r>
        <w:rPr>
          <w:b/>
        </w:rPr>
        <w:t>Reporting of Natural Gas Sales</w:t>
        <w:tab/>
        <w:tab/>
        <w:t>}</w:t>
      </w:r>
    </w:p>
    <w:p>
      <w:pPr>
        <w:pStyle w:val="Normal"/>
        <w:jc w:val="both"/>
        <w:rPr>
          <w:b/>
        </w:rPr>
      </w:pPr>
      <w:r>
        <w:rPr>
          <w:b/>
        </w:rPr>
        <w:t>To The California Market</w:t>
        <w:tab/>
        <w:tab/>
        <w:tab/>
        <w:t>}</w:t>
        <w:tab/>
        <w:t>Docket No. RM01-9-000</w:t>
      </w:r>
    </w:p>
    <w:p>
      <w:pPr>
        <w:pStyle w:val="Normal"/>
        <w:jc w:val="both"/>
        <w:rPr>
          <w:b/>
        </w:rPr>
      </w:pPr>
      <w:r>
        <w:rPr>
          <w:b/>
        </w:rPr>
      </w:r>
    </w:p>
    <w:p>
      <w:pPr>
        <w:pStyle w:val="Normal"/>
        <w:jc w:val="both"/>
        <w:rPr>
          <w:b/>
        </w:rPr>
      </w:pPr>
      <w:r>
        <w:rPr>
          <w:b/>
        </w:rPr>
      </w:r>
    </w:p>
    <w:p>
      <w:pPr>
        <w:pStyle w:val="Normal"/>
        <w:jc w:val="center"/>
        <w:rPr>
          <w:b/>
        </w:rPr>
      </w:pPr>
      <w:r>
        <w:rPr>
          <w:b/>
        </w:rPr>
        <w:t xml:space="preserve">REQUEST FOR REHEARING, OR IN THE ALTERNATIVE, </w:t>
      </w:r>
    </w:p>
    <w:p>
      <w:pPr>
        <w:pStyle w:val="Normal"/>
        <w:jc w:val="center"/>
        <w:rPr>
          <w:b/>
        </w:rPr>
      </w:pPr>
      <w:r>
        <w:rPr>
          <w:b/>
        </w:rPr>
        <w:t>FOR CLARIFICATION OF ENRON NORTH AMERICA</w:t>
      </w:r>
    </w:p>
    <w:p>
      <w:pPr>
        <w:pStyle w:val="Normal"/>
        <w:jc w:val="center"/>
        <w:rPr/>
      </w:pPr>
      <w:r>
        <w:rPr>
          <w:b/>
        </w:rPr>
        <w:t xml:space="preserve">AND ENRON ENERGY SERVICES </w:t>
      </w:r>
      <w:r>
        <w:rPr>
          <w:b/>
          <w:bCs/>
        </w:rPr>
        <w:t xml:space="preserve">ON REPORTING </w:t>
      </w:r>
    </w:p>
    <w:p>
      <w:pPr>
        <w:pStyle w:val="Normal"/>
        <w:jc w:val="center"/>
        <w:rPr/>
      </w:pPr>
      <w:r>
        <w:rPr>
          <w:b/>
          <w:bCs/>
        </w:rPr>
        <w:t>REQUIREMENTS ON NATURAL GAS SALES</w:t>
      </w:r>
      <w:r>
        <w:rPr>
          <w:b/>
        </w:rPr>
        <w:t xml:space="preserve"> TO CALIFORNIA</w:t>
      </w:r>
    </w:p>
    <w:p>
      <w:pPr>
        <w:pStyle w:val="Normal"/>
        <w:jc w:val="center"/>
        <w:rPr>
          <w:b/>
        </w:rPr>
      </w:pPr>
      <w:r>
        <w:rPr>
          <w:b/>
        </w:rPr>
      </w:r>
    </w:p>
    <w:p>
      <w:pPr>
        <w:pStyle w:val="Normal"/>
        <w:jc w:val="center"/>
        <w:rPr/>
      </w:pPr>
      <w:r>
        <w:rPr/>
      </w:r>
    </w:p>
    <w:p>
      <w:pPr>
        <w:pStyle w:val="BodyText"/>
        <w:ind w:firstLine="720" w:end="0"/>
        <w:rPr>
          <w:sz w:val="24"/>
        </w:rPr>
      </w:pPr>
      <w:r>
        <w:rPr>
          <w:sz w:val="24"/>
        </w:rPr>
        <w:t>On July 25 2001, the Federal Energy Regulatory Commission (“Commission”) issued its “Order Imposing Reporting Requirement on Natural Gas Sales to California Market”.  The Commission has adopted reporting requirements for gas sellers, local distribution companies and transporters serving the California market in order ‘to understand why the disparity in the price of natural gas arose in California relative to the remainder of the country”.  Pursuant to 18 C.F.R. § (rehearing section), and for the reasons explained below, Enron North America and Enron Energy Services (“Enron”) hereby file a request for rehearing or, in the alternative, clarification of the reporting requirements adopted for Sellers of Natural Gas to the California Market.</w:t>
      </w:r>
    </w:p>
    <w:p>
      <w:pPr>
        <w:pStyle w:val="Normal"/>
        <w:spacing w:before="240" w:after="0"/>
        <w:jc w:val="center"/>
        <w:rPr>
          <w:b/>
        </w:rPr>
      </w:pPr>
      <w:r>
        <w:rPr>
          <w:b/>
        </w:rPr>
        <w:t>I.  Formalized Reporting Requirements Are Not Appropriate To Address A Temporal Market Problem.</w:t>
      </w:r>
    </w:p>
    <w:p>
      <w:pPr>
        <w:pStyle w:val="Normal"/>
        <w:jc w:val="both"/>
        <w:rPr/>
      </w:pPr>
      <w:r>
        <w:rPr/>
        <w:t xml:space="preserve"> </w:t>
      </w:r>
    </w:p>
    <w:p>
      <w:pPr>
        <w:pStyle w:val="Normal"/>
        <w:spacing w:lineRule="auto" w:line="480"/>
        <w:ind w:firstLine="720" w:end="0"/>
        <w:jc w:val="both"/>
        <w:rPr/>
      </w:pPr>
      <w:r>
        <w:rPr/>
        <w:t>In our comments on the proposed rule, Enron submitted that the California gas price anomaly of last winter was a transitory problem, with solutions already in sight, at least at the federal level, and prices falling off over time.  Accordingly, Enron argued that there is no reason to put into place the permanent reporting rules proposed in this proceeding.  Rather, Enron supports continuation, as needed, of the ad hoc reports the Commission has already requested of certain parties.  The Commission ultimately did not adopt permanent rules, but put in place (subject to approval of the Office of Management and Budget), reporting requirements that expire sometime next year.  While the Commission’s action</w:t>
      </w:r>
      <w:r>
        <w:rPr>
          <w:color w:val="FF0000"/>
        </w:rPr>
        <w:t xml:space="preserve"> is</w:t>
      </w:r>
      <w:r>
        <w:rPr/>
        <w:t xml:space="preserve"> certainly preferably to reporting requirements which contain no sunset date, Enron still maintains that the formalized adoption of these reports is not called for by the situation, imposes undue burdens on the companies required to make the reports, and, in light of market changes, is no longer justified.</w:t>
      </w:r>
    </w:p>
    <w:p>
      <w:pPr>
        <w:pStyle w:val="Normal"/>
        <w:spacing w:lineRule="auto" w:line="480"/>
        <w:ind w:firstLine="720" w:end="0"/>
        <w:jc w:val="both"/>
        <w:rPr/>
      </w:pPr>
      <w:r>
        <w:rPr/>
        <w:t>The Commission’s authority to require the reports is found in the Natural Gas Act, which enables the Commission (1) to require parties to submit information necessary for it to determine whether any person has violated or is about to violate any provision of the Natural Gas Act or any rule or regulation issued thereunder, (2) to aid in the enforcement of the Gas Act or applicable rules, or (3) to obtain information to use in making legislative recommendations to Congress.  (15 U.S.C. § 717m(a)).  The Commission also cited Section 311 of the Federal Power Act as granting it the authority to require the subject reports as the information sought is relevant to the cost of generation.  Whatever the statutory basis for the reporting requirements imposed in this proceeding, Enron submits that the situation does not present an adequate legal basis for the imposition of the burden of formal reporting requirements on all parties; rather the burden should only be imposed on parties and at such times as is reasonably necessary to investigate specific matters.  The formalized and generally applicable reporting requirements adopted go far beyond that scope.</w:t>
      </w:r>
    </w:p>
    <w:p>
      <w:pPr>
        <w:pStyle w:val="Normal"/>
        <w:keepNext w:val="true"/>
        <w:spacing w:before="240" w:after="0"/>
        <w:jc w:val="center"/>
        <w:rPr>
          <w:b/>
        </w:rPr>
      </w:pPr>
      <w:r>
        <w:rPr>
          <w:b/>
        </w:rPr>
        <w:t>II.  The Commission Significantly Underestimated the Burden of the Reporting Requirements as well as the Responding Parties’ Ability to Comply</w:t>
      </w:r>
    </w:p>
    <w:p>
      <w:pPr>
        <w:pStyle w:val="Normal"/>
        <w:keepNext w:val="true"/>
        <w:jc w:val="center"/>
        <w:rPr>
          <w:b/>
        </w:rPr>
      </w:pPr>
      <w:r>
        <w:rPr>
          <w:b/>
        </w:rPr>
      </w:r>
    </w:p>
    <w:p>
      <w:pPr>
        <w:pStyle w:val="Normal"/>
        <w:spacing w:lineRule="auto" w:line="480"/>
        <w:ind w:firstLine="720" w:end="0"/>
        <w:jc w:val="both"/>
        <w:rPr/>
      </w:pPr>
      <w:r>
        <w:rPr/>
        <w:t>Enron argued in its comments that preparing the necessary reports is an extremely costly and time-consuming process.  We noted that to respond to similar data requests the Commission previously sent out, we spent approximately 27 worker-days gathering and collating data covering a two-month period.  In the Preamble to the Order, the Commission stated that the estimated annual burden for data collection is 208 hours per response for the initial report and 3 hours for subsequent reports.  These estimates are nowhere near our internal estimates for this reporting requirement, which, because of the after-the-fact determinations discussed below, will require far more time than our actual experience with the earlier requests for data we had to respond to.  As we analyze the data collection and reporting tasks that are being imposed, we believe that it may be necessary to assign at least one person full-time to the tasks.</w:t>
      </w:r>
    </w:p>
    <w:p>
      <w:pPr>
        <w:pStyle w:val="Normal"/>
        <w:spacing w:lineRule="auto" w:line="480"/>
        <w:ind w:firstLine="720" w:end="0"/>
        <w:jc w:val="both"/>
        <w:rPr/>
      </w:pPr>
      <w:r>
        <w:rPr/>
        <w:t xml:space="preserve">At the very least, it is incumbent upon the Commission to correctly and accurately ascertain the burden that proposed reporting requirements will impose on responding parties, and to make attempts to use verifiable data when submitting the time and cost estimates to the Office of Management and Budget.  The Commission must address the discrepancy between its Commission’s estimates and Enron’s own experience and projections of the manpower needed to perform the required tasks.  </w:t>
      </w:r>
    </w:p>
    <w:p>
      <w:pPr>
        <w:pStyle w:val="Normal"/>
        <w:spacing w:lineRule="auto" w:line="480"/>
        <w:ind w:firstLine="720" w:end="0"/>
        <w:jc w:val="both"/>
        <w:rPr/>
      </w:pPr>
      <w:r>
        <w:rPr/>
        <w:t xml:space="preserve">Time requirements are by no means the only concern we have with compliance.  Enron explained in our comments that our systems are not designed to capture and produce reports in the manner the reporting requirements contemplate.  And it is not simply a question of reengineering our systems to process the proper data and reports.  The Commission’s reporting requirements are based on a business model that in no way reflects the way we manage our business.  For example, Questions 3 and 4 to Sellers of Natural Gas requests daily pricing and volume information for gas transportation and purchase contracts “associated with the sales contracts” for gas physically delivered to California.  Enron Energy Services does not even have daily information available about its sales; almost all transactions are done on a monthly billing cycle basis.  Enron does not “back-to-back” its sales with specific packages of gas or of transportation it purchases.  Our business is managed on an aggregated basis.  We do not track commodity and transportation components of individual sales transactions in a discrete way, anymore so than the pipelines did when they had a merchant function, or local distribution companies do today.  Our business is managed on an aggregated basis, and if we were to report certain purchase and transport contracts as being associated with particular sales into California, we would have to make arbitrary, after-the fact determinations as to which non-California border purchases were made for customers in California.  Since individual purchases are not made with particular sales in mind, these post hoc determinations will not give the Commission the information it states that it is looking for in these report, to wit, “an accurate picture of the overall average gas costs being incurred by all purchasers of gas moving into the California market.”  (July 25 Order, slip op at. 4.) </w:t>
      </w:r>
    </w:p>
    <w:p>
      <w:pPr>
        <w:pStyle w:val="Normal"/>
        <w:spacing w:lineRule="auto" w:line="480"/>
        <w:ind w:firstLine="720" w:end="0"/>
        <w:jc w:val="both"/>
        <w:rPr/>
      </w:pPr>
      <w:r>
        <w:rPr/>
        <w:t>Enron does not believe that in the Commission intended to radically alter the way marketers manage their business just so that reports can be made for a 6-month period of time.  Yet, that is what would be necessary if companies such as Enron were to be in full compliance with the reporting requirements as we interpret them.  If we do develop information to attempt to be responsive to the data fields in the templates, we will be making some arbitrary, after-the-fact determinations of which gas supplies were directed to certain markets.  We fear that this type of hindsight information capture will not give the Commission a true picture of the market and could expose companies like Enron to liability in a number of ways.  The Commission must therefore clarify that sellers of natural gas need to file information that they have that is responsive to the questions, but that they do not have to create data to respond to these questions when that data does not otherwise exist.</w:t>
      </w:r>
    </w:p>
    <w:p>
      <w:pPr>
        <w:pStyle w:val="Normal"/>
        <w:spacing w:lineRule="auto" w:line="480" w:before="240" w:after="0"/>
        <w:jc w:val="center"/>
        <w:rPr>
          <w:b/>
        </w:rPr>
      </w:pPr>
      <w:r>
        <w:rPr>
          <w:b/>
        </w:rPr>
        <w:t>III.  The Deadline for Filing Reports is Inadequate</w:t>
      </w:r>
    </w:p>
    <w:p>
      <w:pPr>
        <w:pStyle w:val="Normal"/>
        <w:spacing w:lineRule="auto" w:line="480"/>
        <w:ind w:firstLine="720" w:end="0"/>
        <w:jc w:val="both"/>
        <w:rPr/>
      </w:pPr>
      <w:r>
        <w:rPr>
          <w:bCs/>
        </w:rPr>
        <w:t>In the new rules, a seller of natural gas must file its report with the Commission 30 days after the end of each month, through January, 2002.  This does not give parties adequate time to collect information and populate the necessary templates.  Information about actual prior month gas flows is typically not available until the earliest the 10</w:t>
      </w:r>
      <w:r>
        <w:rPr>
          <w:bCs/>
          <w:vertAlign w:val="superscript"/>
        </w:rPr>
        <w:t>th</w:t>
      </w:r>
      <w:r>
        <w:rPr>
          <w:bCs/>
        </w:rPr>
        <w:t xml:space="preserve"> day of the following month, and in many cases those early numbers are subject to later adjustments.  If we obtained all the necessary information by the 10</w:t>
      </w:r>
      <w:r>
        <w:rPr>
          <w:bCs/>
          <w:vertAlign w:val="superscript"/>
        </w:rPr>
        <w:t>th</w:t>
      </w:r>
      <w:r>
        <w:rPr>
          <w:bCs/>
        </w:rPr>
        <w:t>, which is the best of possible worlds, that would only give us about 10 working days to prepare our reports.  And we know that this information will be adjusted later.  Additional time for filing these reports will allow parties to file more accurate data.</w:t>
      </w:r>
    </w:p>
    <w:p>
      <w:pPr>
        <w:pStyle w:val="Normal"/>
        <w:spacing w:lineRule="auto" w:line="480"/>
        <w:ind w:firstLine="720" w:end="0"/>
        <w:jc w:val="both"/>
        <w:rPr>
          <w:bCs/>
        </w:rPr>
      </w:pPr>
      <w:r>
        <w:rPr>
          <w:bCs/>
        </w:rPr>
        <w:t xml:space="preserve">With a deadline of the first of the month, additional problems are created because that time tends to be the busiest time for the personnel in gas accounting who will have to prepare the reports.  If the due date were moved to 45 days after the end of the month of the report, compliance would be easier and more accurate as there are fewer demands mid-month and more time to devote to the reporting process.  </w:t>
      </w:r>
    </w:p>
    <w:p>
      <w:pPr>
        <w:pStyle w:val="Normal"/>
        <w:keepNext w:val="true"/>
        <w:spacing w:lineRule="auto" w:line="480" w:before="240" w:after="0"/>
        <w:jc w:val="center"/>
        <w:rPr>
          <w:b/>
        </w:rPr>
      </w:pPr>
      <w:r>
        <w:rPr>
          <w:b/>
        </w:rPr>
        <w:t>IV.  Conclusion</w:t>
      </w:r>
    </w:p>
    <w:p>
      <w:pPr>
        <w:pStyle w:val="Normal"/>
        <w:spacing w:lineRule="auto" w:line="480"/>
        <w:ind w:firstLine="720" w:end="0"/>
        <w:jc w:val="both"/>
        <w:rPr/>
      </w:pPr>
      <w:r>
        <w:rPr/>
        <w:t xml:space="preserve">To summarize Enron’s position, Enron submits that the Commission erred in several respects, and that the Commission must either revise or clarify the Order Imposing Reporting Requirements on Natural Gas Sales to California Markets.  First, Enron submits that it is an error to formalize the reporting requirements, and that they should only be in place on an ad hoc basis to allow the Commission to collect and review data for the periods of time that an actual situation deserving of analysis exists.  By mandating reports into the year 2002, the reporting requirements adopted exceed this standard.  </w:t>
      </w:r>
    </w:p>
    <w:p>
      <w:pPr>
        <w:pStyle w:val="Normal"/>
        <w:spacing w:lineRule="auto" w:line="480"/>
        <w:ind w:firstLine="720" w:end="0"/>
        <w:jc w:val="both"/>
        <w:rPr/>
      </w:pPr>
      <w:r>
        <w:rPr/>
        <w:t xml:space="preserve">Secondly, the Commission must properly assess the time and work burden on the companies subject to the requirements, which it has not done.  The Commission must clarify that reporting entities need not make arbitrary and after-the-fact commercial decisions simply in order to fill in fields in the templates.  If data is not kept on the basis contemplated by the templates, then the reporting entity should not have to supply manufactured data simply to complete the forms.  </w:t>
      </w:r>
    </w:p>
    <w:p>
      <w:pPr>
        <w:pStyle w:val="Normal"/>
        <w:spacing w:lineRule="auto" w:line="480"/>
        <w:ind w:firstLine="720" w:end="0"/>
        <w:jc w:val="both"/>
        <w:rPr/>
      </w:pPr>
      <w:r>
        <w:rPr/>
        <w:t xml:space="preserve">Finally, the Commission should extend the deadline for reporting to 45 days from the end of the reporting month. </w:t>
      </w:r>
    </w:p>
    <w:p>
      <w:pPr>
        <w:pStyle w:val="Normal"/>
        <w:rPr/>
      </w:pPr>
      <w:r>
        <w:rPr/>
      </w:r>
    </w:p>
    <w:p>
      <w:pPr>
        <w:pStyle w:val="Normal"/>
        <w:rPr/>
      </w:pPr>
      <w:r>
        <w:rPr/>
        <w:t>Dated:  August  , 2001</w:t>
        <w:tab/>
        <w:tab/>
        <w:tab/>
        <w:tab/>
        <w:t>Respectfully submitted,</w:t>
      </w:r>
    </w:p>
    <w:p>
      <w:pPr>
        <w:pStyle w:val="Normal"/>
        <w:rPr/>
      </w:pPr>
      <w:r>
        <w:rPr/>
      </w:r>
    </w:p>
    <w:p>
      <w:pPr>
        <w:pStyle w:val="Normal"/>
        <w:rPr/>
      </w:pPr>
      <w:r>
        <w:rPr/>
      </w:r>
    </w:p>
    <w:p>
      <w:pPr>
        <w:pStyle w:val="Normal"/>
        <w:rPr/>
      </w:pPr>
      <w:r>
        <w:rPr/>
        <w:tab/>
        <w:tab/>
        <w:tab/>
        <w:tab/>
        <w:tab/>
        <w:tab/>
        <w:tab/>
        <w:t>Leslie Lawner,</w:t>
      </w:r>
    </w:p>
    <w:p>
      <w:pPr>
        <w:pStyle w:val="Normal"/>
        <w:rPr/>
      </w:pPr>
      <w:r>
        <w:rPr/>
        <w:tab/>
        <w:tab/>
        <w:tab/>
        <w:tab/>
        <w:tab/>
        <w:tab/>
        <w:tab/>
        <w:t>Director</w:t>
      </w:r>
    </w:p>
    <w:p>
      <w:pPr>
        <w:pStyle w:val="Normal"/>
        <w:rPr/>
      </w:pPr>
      <w:r>
        <w:rPr/>
      </w:r>
    </w:p>
    <w:p>
      <w:pPr>
        <w:pStyle w:val="Normal"/>
        <w:rPr/>
      </w:pPr>
      <w:r>
        <w:rPr/>
        <w:tab/>
        <w:tab/>
        <w:tab/>
        <w:tab/>
        <w:tab/>
        <w:tab/>
        <w:tab/>
        <w:t>712 North Lea</w:t>
      </w:r>
    </w:p>
    <w:p>
      <w:pPr>
        <w:pStyle w:val="Normal"/>
        <w:rPr/>
      </w:pPr>
      <w:r>
        <w:rPr/>
        <w:tab/>
        <w:tab/>
        <w:tab/>
        <w:tab/>
        <w:tab/>
        <w:tab/>
        <w:tab/>
        <w:t>Roswell, NM 88201</w:t>
      </w:r>
    </w:p>
    <w:p>
      <w:pPr>
        <w:pStyle w:val="Normal"/>
        <w:rPr/>
      </w:pPr>
      <w:r>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 w:val="20"/>
      <w:szCs w:val="20"/>
    </w:rPr>
  </w:style>
  <w:style w:type="paragraph" w:styleId="Heading2">
    <w:name w:val="heading 2"/>
    <w:basedOn w:val="Normal"/>
    <w:next w:val="Normal"/>
    <w:qFormat/>
    <w:pPr>
      <w:keepNext w:val="true"/>
      <w:numPr>
        <w:ilvl w:val="1"/>
        <w:numId w:val="1"/>
      </w:numPr>
      <w:jc w:val="center"/>
      <w:outlineLvl w:val="1"/>
    </w:pPr>
    <w:rPr>
      <w:b/>
      <w:szCs w:val="20"/>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Cs w:val="20"/>
    </w:rPr>
  </w:style>
  <w:style w:type="paragraph" w:styleId="BodyText">
    <w:name w:val="Body Text"/>
    <w:basedOn w:val="Normal"/>
    <w:pPr>
      <w:spacing w:lineRule="auto" w:line="480"/>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FootnoteText">
    <w:name w:val="footnote text"/>
    <w:basedOn w:val="Normal"/>
    <w:pPr/>
    <w:rPr>
      <w:sz w:val="20"/>
      <w:szCs w:val="20"/>
    </w:rPr>
  </w:style>
  <w:style w:type="paragraph" w:styleId="BodyTextIndent">
    <w:name w:val="Body Text Indent"/>
    <w:basedOn w:val="Normal"/>
    <w:pPr>
      <w:spacing w:lineRule="auto" w:line="480"/>
      <w:jc w:val="both"/>
    </w:pPr>
    <w:rPr>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2001-08-20T13:00:00Z</dcterms:created>
  <dc:creator>llawner</dc:creator>
  <dc:description/>
  <dc:language>en-CA</dc:language>
  <cp:lastModifiedBy>Rebecca W. Cantrell</cp:lastModifiedBy>
  <dcterms:modified xsi:type="dcterms:W3CDTF">2001-08-20T13:45:00Z</dcterms:modified>
  <cp:revision>4</cp:revision>
  <dc:subject/>
  <dc:title>BEFORE THE UNITED STATES OF AMERICA</dc:title>
</cp:coreProperties>
</file>