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0"/>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r>
        <w:rPr/>
        <w:tab/>
      </w:r>
      <w:r>
        <w:rPr>
          <w:rFonts w:cs="Arial Black" w:ascii="Arial Black" w:hAnsi="Arial Black"/>
        </w:rPr>
        <w:t>Enron Corp. Government Affairs</w:t>
      </w:r>
    </w:p>
    <w:p>
      <w:pPr>
        <w:pStyle w:val="Normal"/>
        <w:ind w:firstLine="720" w:start="1440" w:end="0"/>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Heading1"/>
        <w:ind w:hanging="0" w:start="0"/>
        <w:rPr>
          <w:rFonts w:ascii="Arial Black" w:hAnsi="Arial Black" w:cs="Arial Black"/>
        </w:rPr>
      </w:pPr>
      <w:r>
        <w:rPr>
          <w:rFonts w:cs="Arial Black" w:ascii="Arial Black" w:hAnsi="Arial Black"/>
        </w:rPr>
      </w:r>
    </w:p>
    <w:p>
      <w:pPr>
        <w:pStyle w:val="Normal"/>
        <w:rPr/>
      </w:pPr>
      <w:r>
        <w:rPr/>
      </w:r>
    </w:p>
    <w:p>
      <w:pPr>
        <w:pStyle w:val="Normal"/>
        <w:rPr/>
      </w:pPr>
      <w:r>
        <w:rPr/>
        <w:t xml:space="preserve">To:  </w:t>
        <w:tab/>
        <w:tab/>
        <w:t>Distribution</w:t>
      </w:r>
    </w:p>
    <w:p>
      <w:pPr>
        <w:pStyle w:val="Normal"/>
        <w:rPr/>
      </w:pPr>
      <w:r>
        <w:rPr/>
      </w:r>
    </w:p>
    <w:p>
      <w:pPr>
        <w:pStyle w:val="Normal"/>
        <w:rPr/>
      </w:pPr>
      <w:r>
        <w:rPr/>
        <w:t>From:</w:t>
        <w:tab/>
        <w:tab/>
        <w:t>Susan Lindberg</w:t>
        <w:tab/>
      </w:r>
    </w:p>
    <w:p>
      <w:pPr>
        <w:pStyle w:val="Normal"/>
        <w:rPr/>
      </w:pPr>
      <w:r>
        <w:rPr/>
      </w:r>
    </w:p>
    <w:p>
      <w:pPr>
        <w:pStyle w:val="BodyTextIndent2"/>
        <w:rPr/>
      </w:pPr>
      <w:r>
        <w:rPr/>
        <w:t>Subject:</w:t>
        <w:tab/>
        <w:t>Summary of Notice of Proposed Rulemaking on Revised Public Utility Filing Requirements (RM01-8-000)</w:t>
      </w:r>
    </w:p>
    <w:p>
      <w:pPr>
        <w:pStyle w:val="Normal"/>
        <w:rPr/>
      </w:pPr>
      <w:r>
        <w:rPr/>
      </w:r>
    </w:p>
    <w:p>
      <w:pPr>
        <w:pStyle w:val="Normal"/>
        <w:rPr/>
      </w:pPr>
      <w:r>
        <w:rPr/>
        <w:t>Date:</w:t>
        <w:tab/>
        <w:tab/>
        <w:t>August 22, 2001</w:t>
      </w:r>
    </w:p>
    <w:p>
      <w:pPr>
        <w:pStyle w:val="Normal"/>
        <w:rPr/>
      </w:pPr>
      <w:r>
        <w:rPr/>
      </w:r>
    </w:p>
    <w:p>
      <w:pPr>
        <w:pStyle w:val="Normal"/>
        <w:rPr/>
      </w:pPr>
      <w:r>
        <w:rPr/>
      </w:r>
    </w:p>
    <w:p>
      <w:pPr>
        <w:pStyle w:val="Normal"/>
        <w:jc w:val="both"/>
        <w:rPr/>
      </w:pPr>
      <w:r>
        <w:rPr/>
        <w:tab/>
        <w:t>On July 26</w:t>
      </w:r>
      <w:r>
        <w:rPr>
          <w:vertAlign w:val="superscript"/>
        </w:rPr>
        <w:t>th</w:t>
      </w:r>
      <w:r>
        <w:rPr/>
        <w:t xml:space="preserve"> the Commission issued a NOPR proposing to revise its current filing requirements for short- and long-term service agreements.  The following is a brief summary of what the Commission proposes to do.  Comments are due October 5, 2001.</w:t>
      </w:r>
    </w:p>
    <w:p>
      <w:pPr>
        <w:pStyle w:val="Normal"/>
        <w:rPr/>
      </w:pPr>
      <w:r>
        <w:rPr/>
      </w:r>
    </w:p>
    <w:p>
      <w:pPr>
        <w:pStyle w:val="Heading1"/>
        <w:ind w:hanging="0" w:start="0"/>
        <w:rPr/>
      </w:pPr>
      <w:r>
        <w:rPr/>
        <w:t>Summary</w:t>
      </w:r>
    </w:p>
    <w:p>
      <w:pPr>
        <w:pStyle w:val="Normal"/>
        <w:rPr/>
      </w:pPr>
      <w:r>
        <w:rPr/>
      </w:r>
    </w:p>
    <w:p>
      <w:pPr>
        <w:pStyle w:val="Normal"/>
        <w:rPr/>
      </w:pPr>
      <w:r>
        <w:rPr/>
        <w:t>The Commission proposes that public utilities would:</w:t>
      </w:r>
    </w:p>
    <w:p>
      <w:pPr>
        <w:pStyle w:val="Normal"/>
        <w:rPr/>
      </w:pPr>
      <w:r>
        <w:rPr/>
      </w:r>
    </w:p>
    <w:p>
      <w:pPr>
        <w:pStyle w:val="Normal"/>
        <w:numPr>
          <w:ilvl w:val="0"/>
          <w:numId w:val="2"/>
        </w:numPr>
        <w:jc w:val="both"/>
        <w:rPr/>
      </w:pPr>
      <w:r>
        <w:rPr/>
        <w:t>no longer file short-term or long-term service agreements for market-based power sales;</w:t>
      </w:r>
    </w:p>
    <w:p>
      <w:pPr>
        <w:pStyle w:val="Normal"/>
        <w:rPr/>
      </w:pPr>
      <w:r>
        <w:rPr/>
      </w:r>
    </w:p>
    <w:p>
      <w:pPr>
        <w:pStyle w:val="Normal"/>
        <w:numPr>
          <w:ilvl w:val="0"/>
          <w:numId w:val="2"/>
        </w:numPr>
        <w:jc w:val="both"/>
        <w:rPr/>
      </w:pPr>
      <w:r>
        <w:rPr/>
        <w:t>no longer file service agreements for those generally applicable services, such as point-to-point transmission service, for which the public utility has a standard form of service agreement under its tariff;</w:t>
      </w:r>
    </w:p>
    <w:p>
      <w:pPr>
        <w:pStyle w:val="Normal"/>
        <w:rPr/>
      </w:pPr>
      <w:r>
        <w:rPr/>
      </w:r>
    </w:p>
    <w:p>
      <w:pPr>
        <w:pStyle w:val="Normal"/>
        <w:numPr>
          <w:ilvl w:val="0"/>
          <w:numId w:val="2"/>
        </w:numPr>
        <w:jc w:val="both"/>
        <w:rPr/>
      </w:pPr>
      <w:r>
        <w:rPr/>
        <w:t>no longer file Quarterly Transaction Reports summarizing its short-term sales and purchases of power at market-based rates.</w:t>
      </w:r>
    </w:p>
    <w:p>
      <w:pPr>
        <w:pStyle w:val="Normal"/>
        <w:rPr/>
      </w:pPr>
      <w:r>
        <w:rPr/>
      </w:r>
    </w:p>
    <w:p>
      <w:pPr>
        <w:pStyle w:val="Normal"/>
        <w:jc w:val="both"/>
        <w:rPr/>
      </w:pPr>
      <w:r>
        <w:rPr/>
        <w:t>More specifically, here is what the rulemaking proposes with regard to various types of transactions</w:t>
      </w:r>
      <w:r>
        <w:rPr>
          <w:szCs w:val="20"/>
        </w:rPr>
        <w:t>:</w:t>
      </w:r>
    </w:p>
    <w:p>
      <w:pPr>
        <w:pStyle w:val="Normal"/>
        <w:autoSpaceDE w:val="false"/>
        <w:rPr>
          <w:szCs w:val="20"/>
        </w:rPr>
      </w:pPr>
      <w:r>
        <w:rPr>
          <w:szCs w:val="20"/>
        </w:rPr>
      </w:r>
    </w:p>
    <w:p>
      <w:pPr>
        <w:pStyle w:val="Normal"/>
        <w:autoSpaceDE w:val="false"/>
        <w:rPr>
          <w:szCs w:val="20"/>
        </w:rPr>
      </w:pPr>
      <w:r>
        <w:rPr>
          <w:szCs w:val="20"/>
        </w:rPr>
        <w:t xml:space="preserve">1. </w:t>
      </w:r>
      <w:r>
        <w:rPr>
          <w:szCs w:val="20"/>
          <w:u w:val="single"/>
        </w:rPr>
        <w:t>Market-Based Rate Service Agreements</w:t>
      </w:r>
    </w:p>
    <w:p>
      <w:pPr>
        <w:pStyle w:val="Normal"/>
        <w:autoSpaceDE w:val="false"/>
        <w:rPr>
          <w:szCs w:val="20"/>
        </w:rPr>
      </w:pPr>
      <w:r>
        <w:rPr>
          <w:szCs w:val="20"/>
        </w:rPr>
      </w:r>
    </w:p>
    <w:p>
      <w:pPr>
        <w:pStyle w:val="BodyText"/>
        <w:autoSpaceDE w:val="false"/>
        <w:rPr>
          <w:szCs w:val="20"/>
        </w:rPr>
      </w:pPr>
      <w:r>
        <w:rPr>
          <w:szCs w:val="20"/>
        </w:rPr>
        <w:t>· Eliminates the requirement to file Long-Term Service Agreements (currently required only for non-power marketer sellers)</w:t>
      </w:r>
    </w:p>
    <w:p>
      <w:pPr>
        <w:pStyle w:val="Normal"/>
        <w:autoSpaceDE w:val="false"/>
        <w:rPr>
          <w:szCs w:val="20"/>
        </w:rPr>
      </w:pPr>
      <w:r>
        <w:rPr>
          <w:szCs w:val="20"/>
        </w:rPr>
      </w:r>
    </w:p>
    <w:p>
      <w:pPr>
        <w:pStyle w:val="BodyText"/>
        <w:autoSpaceDE w:val="false"/>
        <w:rPr>
          <w:szCs w:val="20"/>
        </w:rPr>
      </w:pPr>
      <w:r>
        <w:rPr>
          <w:szCs w:val="20"/>
        </w:rPr>
        <w:t>· Eliminates the requirement to file quarterly transaction reports (currently required for all power marketer transactions and short-term transactions of non-power marketers)</w:t>
      </w:r>
    </w:p>
    <w:p>
      <w:pPr>
        <w:pStyle w:val="Normal"/>
        <w:autoSpaceDE w:val="false"/>
        <w:rPr>
          <w:szCs w:val="20"/>
        </w:rPr>
      </w:pPr>
      <w:r>
        <w:rPr>
          <w:szCs w:val="20"/>
        </w:rPr>
      </w:r>
    </w:p>
    <w:p>
      <w:pPr>
        <w:pStyle w:val="BodyText"/>
        <w:autoSpaceDE w:val="false"/>
        <w:rPr>
          <w:szCs w:val="20"/>
        </w:rPr>
      </w:pPr>
      <w:r>
        <w:rPr>
          <w:szCs w:val="20"/>
        </w:rPr>
        <w:t xml:space="preserve">· Imposes a new requirement to file an Index of Customers on a quarterly basis and to post the same information on public web site (which must be the public portion of OASIS for any public utility that maintains an OASIS).  The Index of Customers would list all current customers, contracts and contract terms, and transaction data (see details below).  </w:t>
      </w:r>
    </w:p>
    <w:p>
      <w:pPr>
        <w:pStyle w:val="Normal"/>
        <w:autoSpaceDE w:val="false"/>
        <w:rPr>
          <w:szCs w:val="20"/>
        </w:rPr>
      </w:pPr>
      <w:r>
        <w:rPr>
          <w:szCs w:val="20"/>
        </w:rPr>
      </w:r>
    </w:p>
    <w:p>
      <w:pPr>
        <w:pStyle w:val="Normal"/>
        <w:autoSpaceDE w:val="false"/>
        <w:rPr>
          <w:szCs w:val="20"/>
        </w:rPr>
      </w:pPr>
      <w:r>
        <w:rPr>
          <w:szCs w:val="20"/>
        </w:rPr>
        <w:t xml:space="preserve">2. </w:t>
      </w:r>
      <w:r>
        <w:rPr>
          <w:szCs w:val="20"/>
          <w:u w:val="single"/>
        </w:rPr>
        <w:t>Cost-Based Power Sale Service Agreements</w:t>
      </w:r>
    </w:p>
    <w:p>
      <w:pPr>
        <w:pStyle w:val="Normal"/>
        <w:autoSpaceDE w:val="false"/>
        <w:rPr>
          <w:szCs w:val="20"/>
        </w:rPr>
      </w:pPr>
      <w:r>
        <w:rPr>
          <w:szCs w:val="20"/>
        </w:rPr>
      </w:r>
    </w:p>
    <w:p>
      <w:pPr>
        <w:pStyle w:val="BodyText"/>
        <w:autoSpaceDE w:val="false"/>
        <w:rPr>
          <w:szCs w:val="20"/>
        </w:rPr>
      </w:pPr>
      <w:r>
        <w:rPr>
          <w:szCs w:val="20"/>
        </w:rPr>
        <w:t xml:space="preserve">· Provides an option to discontinue the filing of service agreements if the tariff is modified to incorporate a standard form of service agreement. </w:t>
      </w:r>
    </w:p>
    <w:p>
      <w:pPr>
        <w:pStyle w:val="Normal"/>
        <w:autoSpaceDE w:val="false"/>
        <w:rPr>
          <w:szCs w:val="20"/>
        </w:rPr>
      </w:pPr>
      <w:r>
        <w:rPr>
          <w:szCs w:val="20"/>
        </w:rPr>
      </w:r>
    </w:p>
    <w:p>
      <w:pPr>
        <w:pStyle w:val="BodyText"/>
        <w:autoSpaceDE w:val="false"/>
        <w:rPr>
          <w:szCs w:val="20"/>
        </w:rPr>
      </w:pPr>
      <w:r>
        <w:rPr>
          <w:szCs w:val="20"/>
        </w:rPr>
        <w:t xml:space="preserve">· Imposes a requirement to file an Index of Customers on a quarterly basis and to post the same information on public web site (which must be the public portion of OASIS for each public utility that maintains an OASIS).  The Index of Customers requirement applies whether or not the utility has exercised the option in (1) above.  </w:t>
      </w:r>
    </w:p>
    <w:p>
      <w:pPr>
        <w:pStyle w:val="Normal"/>
        <w:autoSpaceDE w:val="false"/>
        <w:rPr>
          <w:szCs w:val="20"/>
        </w:rPr>
      </w:pPr>
      <w:r>
        <w:rPr>
          <w:szCs w:val="20"/>
        </w:rPr>
        <w:t xml:space="preserve"> </w:t>
      </w:r>
    </w:p>
    <w:p>
      <w:pPr>
        <w:pStyle w:val="Normal"/>
        <w:autoSpaceDE w:val="false"/>
        <w:rPr>
          <w:szCs w:val="20"/>
        </w:rPr>
      </w:pPr>
      <w:r>
        <w:rPr>
          <w:szCs w:val="20"/>
        </w:rPr>
        <w:t xml:space="preserve">3. </w:t>
      </w:r>
      <w:r>
        <w:rPr>
          <w:szCs w:val="20"/>
          <w:u w:val="single"/>
        </w:rPr>
        <w:t>Transmission Service Agreements</w:t>
      </w:r>
    </w:p>
    <w:p>
      <w:pPr>
        <w:pStyle w:val="Normal"/>
        <w:autoSpaceDE w:val="false"/>
        <w:rPr>
          <w:szCs w:val="20"/>
        </w:rPr>
      </w:pPr>
      <w:r>
        <w:rPr>
          <w:szCs w:val="20"/>
        </w:rPr>
      </w:r>
    </w:p>
    <w:p>
      <w:pPr>
        <w:pStyle w:val="BodyText"/>
        <w:autoSpaceDE w:val="false"/>
        <w:rPr>
          <w:szCs w:val="20"/>
        </w:rPr>
      </w:pPr>
      <w:r>
        <w:rPr>
          <w:szCs w:val="20"/>
        </w:rPr>
        <w:t>· Eliminates the requirement to file Point-to-Point Service Agreements as long as the customer executes the pro forma service agreements in the tariff.  If the parties negotiate changes to the standard service agreement (e.g., customer-specific distribution charges), or if the parties have a disagreement and the customer requests wants Commission review of an unexecuted agreement, the service agreement would be filed with the Commission.</w:t>
      </w:r>
    </w:p>
    <w:p>
      <w:pPr>
        <w:pStyle w:val="Normal"/>
        <w:autoSpaceDE w:val="false"/>
        <w:rPr>
          <w:szCs w:val="20"/>
        </w:rPr>
      </w:pPr>
      <w:r>
        <w:rPr>
          <w:szCs w:val="20"/>
        </w:rPr>
      </w:r>
    </w:p>
    <w:p>
      <w:pPr>
        <w:pStyle w:val="BodyText"/>
        <w:autoSpaceDE w:val="false"/>
        <w:rPr>
          <w:szCs w:val="20"/>
        </w:rPr>
      </w:pPr>
      <w:r>
        <w:rPr>
          <w:szCs w:val="20"/>
        </w:rPr>
        <w:t>· Provides an option to discontinue the filing of Network Service Agreements, Network Operating Agreements, and Interconnection Agreements if the tariff is modified to incorporate a standard form of agreement and the customer executes that form without modification.  If this option is exercised generally, but in specific instances the parties negotiate changes to the standard service agreement form or the parties have a dispute that requires Commission review, the service agreement would be filed with the Commission.</w:t>
      </w:r>
    </w:p>
    <w:p>
      <w:pPr>
        <w:pStyle w:val="Normal"/>
        <w:autoSpaceDE w:val="false"/>
        <w:rPr>
          <w:szCs w:val="20"/>
        </w:rPr>
      </w:pPr>
      <w:r>
        <w:rPr>
          <w:szCs w:val="20"/>
        </w:rPr>
      </w:r>
    </w:p>
    <w:p>
      <w:pPr>
        <w:pStyle w:val="BodyText"/>
        <w:autoSpaceDE w:val="false"/>
        <w:rPr>
          <w:szCs w:val="20"/>
        </w:rPr>
      </w:pPr>
      <w:r>
        <w:rPr>
          <w:szCs w:val="20"/>
        </w:rPr>
        <w:t>· Imposes a requirement to file an Index of Customers for all point-to-point service agreements (and for network service agreements, network operating agreements or interconnection agreements if the Option in (2) is exercised) on a quarterly basis and to post the same information on public website (which must be the public portion of OASIS for each public utility that maintains an OASIS). The Index of Customers would list all current customers, contracts and contract terms, but would not list transaction data as required for power sales.</w:t>
      </w:r>
      <w:r>
        <w:br w:type="page"/>
      </w:r>
    </w:p>
    <w:p>
      <w:pPr>
        <w:pStyle w:val="Normal"/>
        <w:autoSpaceDE w:val="false"/>
        <w:rPr>
          <w:szCs w:val="20"/>
        </w:rPr>
      </w:pPr>
      <w:r>
        <w:rPr>
          <w:szCs w:val="20"/>
        </w:rPr>
      </w:r>
    </w:p>
    <w:p>
      <w:pPr>
        <w:pStyle w:val="Heading1"/>
        <w:ind w:hanging="0" w:start="0"/>
        <w:rPr/>
      </w:pPr>
      <w:r>
        <w:rPr/>
        <w:t>Index of Customers for Sales Transactions</w:t>
      </w:r>
    </w:p>
    <w:p>
      <w:pPr>
        <w:pStyle w:val="Normal"/>
        <w:rPr/>
      </w:pPr>
      <w:r>
        <w:rPr/>
      </w:r>
    </w:p>
    <w:p>
      <w:pPr>
        <w:pStyle w:val="BodyTextIndent"/>
        <w:rPr/>
      </w:pPr>
      <w:r>
        <w:rPr/>
        <w:t>Information to be reported in Index of Customers is as follows.  For all sales transactions, including book outs or net outs, under market-based or cost-based tariffs, the following information must be reported:</w:t>
      </w:r>
    </w:p>
    <w:p>
      <w:pPr>
        <w:pStyle w:val="Normal"/>
        <w:rPr/>
      </w:pPr>
      <w:r>
        <w:rPr/>
      </w:r>
    </w:p>
    <w:p>
      <w:pPr>
        <w:pStyle w:val="Normal"/>
        <w:numPr>
          <w:ilvl w:val="0"/>
          <w:numId w:val="2"/>
        </w:numPr>
        <w:rPr/>
      </w:pPr>
      <w:r>
        <w:rPr/>
        <w:t>Buyer’s name</w:t>
      </w:r>
    </w:p>
    <w:p>
      <w:pPr>
        <w:pStyle w:val="Normal"/>
        <w:numPr>
          <w:ilvl w:val="0"/>
          <w:numId w:val="2"/>
        </w:numPr>
        <w:rPr/>
      </w:pPr>
      <w:r>
        <w:rPr/>
        <w:t>Seller’s name</w:t>
      </w:r>
    </w:p>
    <w:p>
      <w:pPr>
        <w:pStyle w:val="Normal"/>
        <w:numPr>
          <w:ilvl w:val="0"/>
          <w:numId w:val="2"/>
        </w:numPr>
        <w:rPr/>
      </w:pPr>
      <w:r>
        <w:rPr/>
        <w:t>DUNS number for buyer and seller</w:t>
      </w:r>
    </w:p>
    <w:p>
      <w:pPr>
        <w:pStyle w:val="Normal"/>
        <w:numPr>
          <w:ilvl w:val="0"/>
          <w:numId w:val="2"/>
        </w:numPr>
        <w:rPr/>
      </w:pPr>
      <w:r>
        <w:rPr/>
        <w:t>Affiliate flag</w:t>
      </w:r>
    </w:p>
    <w:p>
      <w:pPr>
        <w:pStyle w:val="Normal"/>
        <w:numPr>
          <w:ilvl w:val="0"/>
          <w:numId w:val="2"/>
        </w:numPr>
        <w:rPr/>
      </w:pPr>
      <w:r>
        <w:rPr/>
        <w:t>Product offered (i.e., capacity, energy, ancillary or reassignment; hourly, daily, etc.; peak or off-peak; firm or non-firm)</w:t>
      </w:r>
    </w:p>
    <w:p>
      <w:pPr>
        <w:pStyle w:val="Normal"/>
        <w:numPr>
          <w:ilvl w:val="0"/>
          <w:numId w:val="2"/>
        </w:numPr>
        <w:rPr/>
      </w:pPr>
      <w:r>
        <w:rPr/>
        <w:t>Transaction execution date</w:t>
      </w:r>
    </w:p>
    <w:p>
      <w:pPr>
        <w:pStyle w:val="Normal"/>
        <w:numPr>
          <w:ilvl w:val="0"/>
          <w:numId w:val="2"/>
        </w:numPr>
        <w:rPr/>
      </w:pPr>
      <w:r>
        <w:rPr/>
        <w:t>Duration of transaction</w:t>
      </w:r>
    </w:p>
    <w:p>
      <w:pPr>
        <w:pStyle w:val="Normal"/>
        <w:numPr>
          <w:ilvl w:val="0"/>
          <w:numId w:val="2"/>
        </w:numPr>
        <w:rPr/>
      </w:pPr>
      <w:r>
        <w:rPr/>
        <w:t>Price</w:t>
      </w:r>
    </w:p>
    <w:p>
      <w:pPr>
        <w:pStyle w:val="Normal"/>
        <w:numPr>
          <w:ilvl w:val="0"/>
          <w:numId w:val="2"/>
        </w:numPr>
        <w:rPr/>
      </w:pPr>
      <w:r>
        <w:rPr/>
        <w:t>Type of rate (i.e., cost-based or market-based)</w:t>
      </w:r>
    </w:p>
    <w:p>
      <w:pPr>
        <w:pStyle w:val="Normal"/>
        <w:numPr>
          <w:ilvl w:val="0"/>
          <w:numId w:val="2"/>
        </w:numPr>
        <w:rPr/>
      </w:pPr>
      <w:r>
        <w:rPr/>
        <w:t>Quantity</w:t>
      </w:r>
    </w:p>
    <w:p>
      <w:pPr>
        <w:pStyle w:val="Normal"/>
        <w:numPr>
          <w:ilvl w:val="0"/>
          <w:numId w:val="2"/>
        </w:numPr>
        <w:rPr/>
      </w:pPr>
      <w:r>
        <w:rPr/>
        <w:t>Points of receipt and delivery</w:t>
      </w:r>
    </w:p>
    <w:p>
      <w:pPr>
        <w:pStyle w:val="Normal"/>
        <w:rPr/>
      </w:pPr>
      <w:r>
        <w:rPr/>
      </w:r>
    </w:p>
    <w:p>
      <w:pPr>
        <w:pStyle w:val="Heading1"/>
        <w:ind w:hanging="0" w:start="0"/>
        <w:rPr/>
      </w:pPr>
      <w:r>
        <w:rPr/>
        <w:t>Forms of service agreements</w:t>
      </w:r>
    </w:p>
    <w:p>
      <w:pPr>
        <w:pStyle w:val="Normal"/>
        <w:rPr/>
      </w:pPr>
      <w:r>
        <w:rPr/>
      </w:r>
    </w:p>
    <w:p>
      <w:pPr>
        <w:pStyle w:val="BodyText"/>
        <w:rPr/>
      </w:pPr>
      <w:r>
        <w:rPr/>
        <w:tab/>
        <w:t xml:space="preserve">By eliminating the filing requirement for service agreements that conform to a form agreement included in a service provider’s tariff, the Commission seeks to encourage the standardization of agreements for generally applicable services such as cost-based power sales or interconnection agreements.  The NOPR provides guidelines for the inclusion of a standard form of service agreement in a public utility’s tariff.  </w:t>
      </w:r>
    </w:p>
    <w:p>
      <w:pPr>
        <w:pStyle w:val="Normal"/>
        <w:autoSpaceDE w:val="false"/>
        <w:rPr/>
      </w:pPr>
      <w:r>
        <w:rPr/>
      </w:r>
    </w:p>
    <w:p>
      <w:pPr>
        <w:pStyle w:val="Heading1"/>
        <w:autoSpaceDE w:val="false"/>
        <w:ind w:hanging="0" w:start="0"/>
        <w:rPr/>
      </w:pPr>
      <w:r>
        <w:rPr/>
        <w:t>Issues</w:t>
      </w:r>
    </w:p>
    <w:p>
      <w:pPr>
        <w:pStyle w:val="Normal"/>
        <w:autoSpaceDE w:val="false"/>
        <w:rPr/>
      </w:pPr>
      <w:r>
        <w:rPr/>
      </w:r>
    </w:p>
    <w:p>
      <w:pPr>
        <w:pStyle w:val="BodyText"/>
        <w:autoSpaceDE w:val="false"/>
        <w:rPr/>
      </w:pPr>
      <w:r>
        <w:rPr/>
        <w:tab/>
        <w:t>The Commission claims that its proposed revisions will reduce the industry’s overall filing burden (and the burden on FERC to review paper filings), while providing industry participants with greater access to transaction data.  The Commission’s justification for removing the contract filing requirements for non-marketer public utilities is that power marketers are now “well established,” so it is “appropriate to level the playing field for other public utilities.”  Additionally, the Commission states that power marketers currently make their quarterly reports in varying formats and with varying degrees of specificity, and the new reporting requirements will help standardize the reporting.</w:t>
      </w:r>
    </w:p>
    <w:p>
      <w:pPr>
        <w:pStyle w:val="BodyText"/>
        <w:autoSpaceDE w:val="false"/>
        <w:rPr/>
      </w:pPr>
      <w:r>
        <w:rPr/>
      </w:r>
    </w:p>
    <w:p>
      <w:pPr>
        <w:pStyle w:val="BodyText"/>
        <w:autoSpaceDE w:val="false"/>
        <w:rPr/>
      </w:pPr>
      <w:r>
        <w:rPr/>
        <w:tab/>
        <w:t>Enron will need to decide what comments are appropriate to file, if any.  EPSA has already pointed out several issues to its members.  For example, while</w:t>
      </w:r>
      <w:r>
        <w:rPr>
          <w:szCs w:val="20"/>
        </w:rPr>
        <w:t xml:space="preserve"> there are several advantages to FERC’s proposal, including more uniform and simplified filing requirements, which will allow competitive power suppliers and others greater access to market data, there may some issues of concern to raise as well.  First, this NOPR is clearly a prelude to a more comprehensive review of the information required for market monitoring.  There is some concern that the Commission may seek data on power plant production costs and unit availability.  There are also some concerns about how contract terms, which often include multiple components, may be differentiated from prices under the filing requirements.  Finally, there may be concern over the Commission's decision to discontinue the filing of affiliate transmission service agreements, thus making it more difficult to track transmission service for native load.  EPSA is scheduling a conference call in early September to discuss these and any other issues.</w:t>
      </w:r>
    </w:p>
    <w:p>
      <w:pPr>
        <w:pStyle w:val="BodyText"/>
        <w:autoSpaceDE w:val="false"/>
        <w:rPr>
          <w:szCs w:val="20"/>
        </w:rPr>
      </w:pPr>
      <w:r>
        <w:rPr>
          <w:szCs w:val="20"/>
        </w:rPr>
      </w:r>
    </w:p>
    <w:p>
      <w:pPr>
        <w:pStyle w:val="BodyText"/>
        <w:autoSpaceDE w:val="false"/>
        <w:rPr>
          <w:szCs w:val="20"/>
        </w:rPr>
      </w:pPr>
      <w:r>
        <w:rPr>
          <w:szCs w:val="20"/>
        </w:rPr>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hanging="144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2001-08-20T19:06:00Z</dcterms:created>
  <dc:creator>Susan Lindberg</dc:creator>
  <dc:description/>
  <dc:language>en-CA</dc:language>
  <cp:lastModifiedBy>Susan Lindberg</cp:lastModifiedBy>
  <dcterms:modified xsi:type="dcterms:W3CDTF">2001-08-22T15:09:00Z</dcterms:modified>
  <cp:revision>2</cp:revision>
  <dc:subject/>
  <dc:title>RM01-8-000</dc:title>
</cp:coreProperties>
</file>