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6120" w:leader="none"/>
          <w:tab w:val="right" w:pos="9360" w:leader="none"/>
        </w:tabs>
        <w:rPr>
          <w:sz w:val="22"/>
          <w:szCs w:val="22"/>
        </w:rPr>
      </w:pPr>
      <w:r>
        <w:rPr/>
        <w:drawing>
          <wp:inline distT="0" distB="0" distL="0" distR="0">
            <wp:extent cx="72580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25805" cy="703580"/>
                    </a:xfrm>
                    <a:prstGeom prst="rect">
                      <a:avLst/>
                    </a:prstGeom>
                    <a:noFill/>
                  </pic:spPr>
                </pic:pic>
              </a:graphicData>
            </a:graphic>
          </wp:inline>
        </w:drawing>
      </w:r>
    </w:p>
    <w:p>
      <w:pPr>
        <w:pStyle w:val="Heading"/>
        <w:rPr>
          <w:sz w:val="22"/>
          <w:szCs w:val="22"/>
        </w:rPr>
      </w:pPr>
      <w:r>
        <w:rPr>
          <w:sz w:val="22"/>
          <w:szCs w:val="22"/>
        </w:rPr>
      </w:r>
    </w:p>
    <w:p>
      <w:pPr>
        <w:pStyle w:val="Normal"/>
        <w:rPr>
          <w:sz w:val="22"/>
          <w:szCs w:val="22"/>
        </w:rPr>
      </w:pPr>
      <w:r>
        <w:rPr>
          <w:b/>
          <w:bCs/>
          <w:i/>
          <w:iCs/>
          <w:sz w:val="22"/>
          <w:szCs w:val="22"/>
        </w:rPr>
        <w:t>Natural Gas, Electricity and Endless Possibilities</w:t>
      </w:r>
    </w:p>
    <w:p>
      <w:pPr>
        <w:pStyle w:val="Normal"/>
        <w:rPr>
          <w:b/>
          <w:bCs/>
          <w:sz w:val="22"/>
          <w:szCs w:val="22"/>
        </w:rPr>
      </w:pPr>
      <w:r>
        <w:rPr>
          <w:b/>
          <w:bCs/>
          <w:sz w:val="22"/>
          <w:szCs w:val="22"/>
        </w:rPr>
        <w:t>ENRON TRANSPORTATION SERVICES</w:t>
      </w:r>
    </w:p>
    <w:p>
      <w:pPr>
        <w:pStyle w:val="Normal"/>
        <w:rPr>
          <w:b/>
          <w:bCs/>
          <w:sz w:val="22"/>
          <w:szCs w:val="22"/>
        </w:rPr>
      </w:pPr>
      <w:r>
        <w:rPr>
          <w:b/>
          <w:bCs/>
          <w:sz w:val="22"/>
          <w:szCs w:val="22"/>
        </w:rPr>
      </w:r>
    </w:p>
    <w:p>
      <w:pPr>
        <w:pStyle w:val="Normal"/>
        <w:jc w:val="center"/>
        <w:rPr>
          <w:b/>
          <w:bCs/>
          <w:sz w:val="24"/>
          <w:szCs w:val="24"/>
        </w:rPr>
      </w:pPr>
      <w:r>
        <w:rPr>
          <w:b/>
          <w:bCs/>
          <w:sz w:val="24"/>
          <w:szCs w:val="24"/>
        </w:rPr>
      </w:r>
    </w:p>
    <w:tbl>
      <w:tblPr>
        <w:tblW w:w="9324" w:type="dxa"/>
        <w:jc w:val="start"/>
        <w:tblInd w:w="108" w:type="dxa"/>
        <w:tblLayout w:type="fixed"/>
        <w:tblCellMar>
          <w:top w:w="0" w:type="dxa"/>
          <w:start w:w="108" w:type="dxa"/>
          <w:bottom w:w="0" w:type="dxa"/>
          <w:end w:w="108" w:type="dxa"/>
        </w:tblCellMar>
      </w:tblPr>
      <w:tblGrid>
        <w:gridCol w:w="1440"/>
        <w:gridCol w:w="3744"/>
        <w:gridCol w:w="1232"/>
        <w:gridCol w:w="307"/>
        <w:gridCol w:w="514"/>
        <w:gridCol w:w="2087"/>
      </w:tblGrid>
      <w:tr>
        <w:trPr>
          <w:trHeight w:val="320" w:hRule="atLeast"/>
        </w:trPr>
        <w:tc>
          <w:tcPr>
            <w:tcW w:w="1440" w:type="dxa"/>
            <w:tcBorders>
              <w:top w:val="dashed" w:sz="6" w:space="0" w:color="auto"/>
              <w:start w:val="dashed" w:sz="6" w:space="0" w:color="auto"/>
              <w:bottom w:val="dashed" w:sz="6" w:space="0" w:color="auto"/>
              <w:end w:val="dashed" w:sz="6" w:space="0" w:color="auto"/>
            </w:tcBorders>
          </w:tcPr>
          <w:p>
            <w:pPr>
              <w:pStyle w:val="Normal"/>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To:</w:t>
            </w:r>
          </w:p>
        </w:tc>
        <w:tc>
          <w:tcPr>
            <w:tcW w:w="3744" w:type="dxa"/>
            <w:tcBorders>
              <w:top w:val="dashed" w:sz="6" w:space="0" w:color="auto"/>
              <w:start w:val="dashed" w:sz="6" w:space="0" w:color="auto"/>
              <w:bottom w:val="dashed" w:sz="6" w:space="0" w:color="auto"/>
              <w:end w:val="dashed" w:sz="6" w:space="0" w:color="auto"/>
            </w:tcBorders>
          </w:tcPr>
          <w:p>
            <w:pPr>
              <w:pStyle w:val="To"/>
              <w:rPr>
                <w:rFonts w:ascii="Times New Roman" w:hAnsi="Times New Roman" w:eastAsia="Times New Roman" w:cs="Times New Roman"/>
                <w:sz w:val="22"/>
                <w:szCs w:val="22"/>
              </w:rPr>
            </w:pPr>
            <w:r>
              <w:rPr>
                <w:rFonts w:eastAsia="Times New Roman" w:cs="Times New Roman" w:ascii="Times New Roman" w:hAnsi="Times New Roman"/>
                <w:sz w:val="22"/>
                <w:szCs w:val="22"/>
              </w:rPr>
              <w:t>Distribution</w:t>
            </w:r>
          </w:p>
        </w:tc>
        <w:tc>
          <w:tcPr>
            <w:tcW w:w="2053" w:type="dxa"/>
            <w:gridSpan w:val="3"/>
            <w:tcBorders>
              <w:top w:val="dashed" w:sz="6" w:space="0" w:color="auto"/>
              <w:start w:val="dashed" w:sz="6" w:space="0" w:color="auto"/>
              <w:bottom w:val="dashed" w:sz="6" w:space="0" w:color="auto"/>
              <w:end w:val="dashed" w:sz="6" w:space="0" w:color="auto"/>
            </w:tcBorders>
          </w:tcPr>
          <w:p>
            <w:pPr>
              <w:pStyle w:val="Normal"/>
              <w:snapToGrid w:val="false"/>
              <w:ind w:start="72" w:end="0"/>
              <w:rPr>
                <w:rFonts w:ascii="Times New Roman" w:hAnsi="Times New Roman" w:eastAsia="Times New Roman" w:cs="Times New Roman"/>
                <w:sz w:val="22"/>
                <w:szCs w:val="22"/>
              </w:rPr>
            </w:pPr>
            <w:r>
              <w:rPr>
                <w:rFonts w:eastAsia="Times New Roman" w:cs="Times New Roman"/>
                <w:sz w:val="22"/>
                <w:szCs w:val="22"/>
              </w:rPr>
            </w:r>
          </w:p>
        </w:tc>
        <w:tc>
          <w:tcPr>
            <w:tcW w:w="2087" w:type="dxa"/>
            <w:tcBorders>
              <w:top w:val="dashed" w:sz="6" w:space="0" w:color="auto"/>
              <w:start w:val="dashed" w:sz="6" w:space="0" w:color="auto"/>
              <w:bottom w:val="dashed" w:sz="6" w:space="0" w:color="auto"/>
              <w:end w:val="dashed" w:sz="6" w:space="0" w:color="auto"/>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r>
      <w:tr>
        <w:trPr>
          <w:trHeight w:val="269" w:hRule="exact"/>
        </w:trPr>
        <w:tc>
          <w:tcPr>
            <w:tcW w:w="1440" w:type="dxa"/>
            <w:tcBorders>
              <w:top w:val="dashed" w:sz="6" w:space="0" w:color="auto"/>
              <w:start w:val="dashed" w:sz="6" w:space="0" w:color="auto"/>
              <w:bottom w:val="dashed" w:sz="6" w:space="0" w:color="auto"/>
              <w:end w:val="dashed" w:sz="6" w:space="0" w:color="auto"/>
            </w:tcBorders>
          </w:tcPr>
          <w:p>
            <w:pPr>
              <w:pStyle w:val="Normal"/>
              <w:snapToGrid w:val="false"/>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3744" w:type="dxa"/>
            <w:tcBorders>
              <w:top w:val="dashed" w:sz="6" w:space="0" w:color="auto"/>
              <w:start w:val="dashed" w:sz="6" w:space="0" w:color="auto"/>
              <w:bottom w:val="dashed" w:sz="6" w:space="0" w:color="auto"/>
              <w:end w:val="dashed" w:sz="6" w:space="0" w:color="auto"/>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053" w:type="dxa"/>
            <w:gridSpan w:val="3"/>
            <w:tcBorders>
              <w:top w:val="dashed" w:sz="6" w:space="0" w:color="auto"/>
              <w:start w:val="dashed" w:sz="6" w:space="0" w:color="auto"/>
              <w:bottom w:val="dashed" w:sz="6" w:space="0" w:color="auto"/>
              <w:end w:val="dashed" w:sz="6" w:space="0" w:color="auto"/>
            </w:tcBorders>
          </w:tcPr>
          <w:p>
            <w:pPr>
              <w:pStyle w:val="Normal"/>
              <w:snapToGrid w:val="false"/>
              <w:ind w:start="-180"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087" w:type="dxa"/>
            <w:tcBorders>
              <w:top w:val="dashed" w:sz="6" w:space="0" w:color="auto"/>
              <w:start w:val="dashed" w:sz="6" w:space="0" w:color="auto"/>
              <w:bottom w:val="dashed" w:sz="6" w:space="0" w:color="auto"/>
              <w:end w:val="dashed" w:sz="6" w:space="0" w:color="auto"/>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r>
      <w:tr>
        <w:trPr>
          <w:trHeight w:val="300" w:hRule="exact"/>
        </w:trPr>
        <w:tc>
          <w:tcPr>
            <w:tcW w:w="1440" w:type="dxa"/>
            <w:tcBorders>
              <w:top w:val="dashed" w:sz="6" w:space="0" w:color="auto"/>
              <w:start w:val="dashed" w:sz="6" w:space="0" w:color="auto"/>
              <w:bottom w:val="dashed" w:sz="6" w:space="0" w:color="auto"/>
              <w:end w:val="dashed" w:sz="6" w:space="0" w:color="auto"/>
            </w:tcBorders>
          </w:tcPr>
          <w:p>
            <w:pPr>
              <w:pStyle w:val="Normal"/>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From:</w:t>
            </w:r>
          </w:p>
        </w:tc>
        <w:tc>
          <w:tcPr>
            <w:tcW w:w="3744" w:type="dxa"/>
            <w:tcBorders>
              <w:top w:val="dashed" w:sz="6" w:space="0" w:color="auto"/>
              <w:start w:val="dashed" w:sz="6" w:space="0" w:color="auto"/>
              <w:bottom w:val="dashed" w:sz="6" w:space="0" w:color="auto"/>
              <w:end w:val="dashed" w:sz="6" w:space="0" w:color="auto"/>
            </w:tcBorders>
          </w:tcPr>
          <w:p>
            <w:pPr>
              <w:pStyle w:val="From"/>
              <w:rPr>
                <w:rFonts w:ascii="Times New Roman" w:hAnsi="Times New Roman" w:eastAsia="Times New Roman" w:cs="Times New Roman"/>
                <w:sz w:val="22"/>
                <w:szCs w:val="22"/>
              </w:rPr>
            </w:pPr>
            <w:r>
              <w:rPr>
                <w:rFonts w:eastAsia="Times New Roman" w:cs="Times New Roman" w:ascii="Times New Roman" w:hAnsi="Times New Roman"/>
                <w:sz w:val="22"/>
                <w:szCs w:val="22"/>
              </w:rPr>
              <w:t>Jan Butler</w:t>
            </w:r>
          </w:p>
        </w:tc>
        <w:tc>
          <w:tcPr>
            <w:tcW w:w="1539" w:type="dxa"/>
            <w:gridSpan w:val="2"/>
            <w:tcBorders>
              <w:top w:val="dashed" w:sz="6" w:space="0" w:color="auto"/>
              <w:start w:val="dashed" w:sz="6" w:space="0" w:color="auto"/>
              <w:bottom w:val="dashed" w:sz="6" w:space="0" w:color="auto"/>
              <w:end w:val="dashed" w:sz="6" w:space="0" w:color="auto"/>
            </w:tcBorders>
          </w:tcPr>
          <w:p>
            <w:pPr>
              <w:pStyle w:val="Normal"/>
              <w:snapToGrid w:val="false"/>
              <w:ind w:start="-180" w:end="0"/>
              <w:jc w:val="end"/>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601" w:type="dxa"/>
            <w:gridSpan w:val="2"/>
            <w:tcBorders>
              <w:top w:val="dashed" w:sz="6" w:space="0" w:color="auto"/>
              <w:start w:val="dashed" w:sz="6" w:space="0" w:color="auto"/>
              <w:bottom w:val="dashed" w:sz="6" w:space="0" w:color="auto"/>
              <w:end w:val="dashed" w:sz="6" w:space="0" w:color="auto"/>
            </w:tcBorders>
          </w:tcPr>
          <w:p>
            <w:pPr>
              <w:pStyle w:val="Department"/>
              <w:snapToGrid w:val="false"/>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bookmarkStart w:id="0" w:name="From"/>
            <w:bookmarkStart w:id="1" w:name="From"/>
            <w:bookmarkEnd w:id="1"/>
          </w:p>
        </w:tc>
      </w:tr>
      <w:tr>
        <w:trPr>
          <w:trHeight w:val="216" w:hRule="exact"/>
        </w:trPr>
        <w:tc>
          <w:tcPr>
            <w:tcW w:w="1440" w:type="dxa"/>
            <w:tcBorders>
              <w:top w:val="dashed" w:sz="6" w:space="0" w:color="auto"/>
              <w:start w:val="dashed" w:sz="6" w:space="0" w:color="auto"/>
              <w:bottom w:val="dashed" w:sz="6" w:space="0" w:color="auto"/>
              <w:end w:val="dashed" w:sz="6" w:space="0" w:color="auto"/>
            </w:tcBorders>
          </w:tcPr>
          <w:p>
            <w:pPr>
              <w:pStyle w:val="Normal"/>
              <w:snapToGrid w:val="false"/>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3744" w:type="dxa"/>
            <w:tcBorders>
              <w:top w:val="dashed" w:sz="6" w:space="0" w:color="auto"/>
              <w:start w:val="dashed" w:sz="6" w:space="0" w:color="auto"/>
              <w:bottom w:val="dashed" w:sz="6" w:space="0" w:color="auto"/>
              <w:end w:val="dashed" w:sz="6" w:space="0" w:color="auto"/>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053" w:type="dxa"/>
            <w:gridSpan w:val="3"/>
            <w:tcBorders>
              <w:top w:val="dashed" w:sz="6" w:space="0" w:color="auto"/>
              <w:start w:val="dashed" w:sz="6" w:space="0" w:color="auto"/>
              <w:bottom w:val="dashed" w:sz="6" w:space="0" w:color="auto"/>
              <w:end w:val="dashed" w:sz="6" w:space="0" w:color="auto"/>
            </w:tcBorders>
          </w:tcPr>
          <w:p>
            <w:pPr>
              <w:pStyle w:val="Normal"/>
              <w:tabs>
                <w:tab w:val="clear" w:pos="720"/>
                <w:tab w:val="left" w:pos="-108" w:leader="none"/>
              </w:tabs>
              <w:snapToGrid w:val="false"/>
              <w:ind w:start="-180"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087" w:type="dxa"/>
            <w:tcBorders>
              <w:top w:val="dashed" w:sz="6" w:space="0" w:color="auto"/>
              <w:start w:val="dashed" w:sz="6" w:space="0" w:color="auto"/>
              <w:bottom w:val="dashed" w:sz="6" w:space="0" w:color="auto"/>
              <w:end w:val="dashed" w:sz="6" w:space="0" w:color="auto"/>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r>
      <w:tr>
        <w:trPr>
          <w:trHeight w:val="720" w:hRule="exact"/>
        </w:trPr>
        <w:tc>
          <w:tcPr>
            <w:tcW w:w="1440" w:type="dxa"/>
            <w:tcBorders>
              <w:top w:val="dashed" w:sz="6" w:space="0" w:color="auto"/>
              <w:start w:val="dashed" w:sz="6" w:space="0" w:color="auto"/>
              <w:bottom w:val="dashed" w:sz="6" w:space="0" w:color="auto"/>
              <w:end w:val="dashed" w:sz="6" w:space="0" w:color="auto"/>
            </w:tcBorders>
          </w:tcPr>
          <w:p>
            <w:pPr>
              <w:pStyle w:val="Normal"/>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Subject:</w:t>
            </w:r>
          </w:p>
        </w:tc>
        <w:tc>
          <w:tcPr>
            <w:tcW w:w="3744" w:type="dxa"/>
            <w:tcBorders>
              <w:top w:val="dashed" w:sz="6" w:space="0" w:color="auto"/>
              <w:start w:val="dashed" w:sz="6" w:space="0" w:color="auto"/>
              <w:bottom w:val="dashed" w:sz="6" w:space="0" w:color="auto"/>
              <w:end w:val="dashed" w:sz="6" w:space="0" w:color="auto"/>
            </w:tcBorders>
          </w:tcPr>
          <w:p>
            <w:pPr>
              <w:pStyle w:val="Subject"/>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Standards of Conduct for </w:t>
            </w:r>
          </w:p>
          <w:p>
            <w:pPr>
              <w:pStyle w:val="Subject"/>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Transmission Providers, RM01-10  </w:t>
            </w:r>
          </w:p>
          <w:p>
            <w:pPr>
              <w:pStyle w:val="Subject"/>
              <w:rPr>
                <w:rFonts w:ascii="Times New Roman" w:hAnsi="Times New Roman" w:eastAsia="Times New Roman" w:cs="Times New Roman"/>
                <w:sz w:val="22"/>
                <w:szCs w:val="22"/>
              </w:rPr>
            </w:pPr>
            <w:r>
              <w:rPr>
                <w:rFonts w:eastAsia="Times New Roman" w:cs="Times New Roman" w:ascii="Times New Roman" w:hAnsi="Times New Roman"/>
                <w:sz w:val="22"/>
                <w:szCs w:val="22"/>
              </w:rPr>
              <w:t>Notice of Proposed Regulation</w:t>
            </w:r>
          </w:p>
        </w:tc>
        <w:tc>
          <w:tcPr>
            <w:tcW w:w="1232" w:type="dxa"/>
            <w:tcBorders>
              <w:top w:val="dashed" w:sz="6" w:space="0" w:color="auto"/>
              <w:start w:val="dashed" w:sz="6" w:space="0" w:color="auto"/>
              <w:bottom w:val="dashed" w:sz="6" w:space="0" w:color="auto"/>
              <w:end w:val="dashed" w:sz="6" w:space="0" w:color="auto"/>
            </w:tcBorders>
          </w:tcPr>
          <w:p>
            <w:pPr>
              <w:pStyle w:val="Normal"/>
              <w:ind w:start="44"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Date:</w:t>
            </w:r>
          </w:p>
        </w:tc>
        <w:tc>
          <w:tcPr>
            <w:tcW w:w="2908" w:type="dxa"/>
            <w:gridSpan w:val="3"/>
            <w:tcBorders>
              <w:top w:val="dashed" w:sz="6" w:space="0" w:color="auto"/>
              <w:start w:val="dashed" w:sz="6" w:space="0" w:color="auto"/>
              <w:bottom w:val="dashed" w:sz="6" w:space="0" w:color="auto"/>
              <w:end w:val="dashed" w:sz="6" w:space="0" w:color="auto"/>
            </w:tcBorders>
          </w:tcPr>
          <w:p>
            <w:pPr>
              <w:pStyle w:val="Date"/>
              <w:rPr>
                <w:rFonts w:ascii="Times New Roman" w:hAnsi="Times New Roman" w:eastAsia="Times New Roman" w:cs="Times New Roman"/>
                <w:sz w:val="22"/>
                <w:szCs w:val="22"/>
              </w:rPr>
            </w:pPr>
            <w:r>
              <w:rPr>
                <w:rFonts w:eastAsia="Times New Roman" w:cs="Times New Roman" w:ascii="Times New Roman" w:hAnsi="Times New Roman"/>
                <w:sz w:val="22"/>
                <w:szCs w:val="22"/>
              </w:rPr>
              <w:t>September 27, 2001</w:t>
            </w:r>
          </w:p>
        </w:tc>
      </w:tr>
    </w:tbl>
    <w:p>
      <w:pPr>
        <w:pStyle w:val="Normal"/>
        <w:pBdr>
          <w:bottom w:val="single" w:sz="12" w:space="1" w:color="000000"/>
        </w:pBdr>
        <w:rPr>
          <w:sz w:val="22"/>
          <w:szCs w:val="22"/>
        </w:rPr>
      </w:pPr>
      <w:r>
        <w:rPr>
          <w:sz w:val="22"/>
          <w:szCs w:val="22"/>
        </w:rPr>
      </w:r>
    </w:p>
    <w:p>
      <w:pPr>
        <w:pStyle w:val="Normal"/>
        <w:rPr>
          <w:sz w:val="22"/>
          <w:szCs w:val="22"/>
        </w:rPr>
      </w:pPr>
      <w:r>
        <w:rPr>
          <w:sz w:val="22"/>
          <w:szCs w:val="22"/>
        </w:rPr>
      </w:r>
    </w:p>
    <w:p>
      <w:pPr>
        <w:pStyle w:val="Heading1"/>
        <w:ind w:hanging="0" w:start="0"/>
        <w:rPr/>
      </w:pPr>
      <w:r>
        <w:rPr/>
        <w:t>Summary</w:t>
      </w:r>
    </w:p>
    <w:p>
      <w:pPr>
        <w:pStyle w:val="BodyText"/>
        <w:rPr/>
      </w:pPr>
      <w:r>
        <w:rPr/>
        <w:t xml:space="preserve">This NOPR has significant ramifications for all transmission providers. There are three areas that are most notable: 1) application of the same standards for both the gas and electric industries; 2) expansion of the definition of energy affiliate as promulgated in the Dominion/CNG order and 3) the posting of all offers of discounts contemporaneously. </w:t>
      </w:r>
    </w:p>
    <w:p>
      <w:pPr>
        <w:pStyle w:val="Normal"/>
        <w:rPr>
          <w:sz w:val="22"/>
          <w:szCs w:val="22"/>
        </w:rPr>
      </w:pPr>
      <w:r>
        <w:rPr>
          <w:sz w:val="22"/>
          <w:szCs w:val="22"/>
        </w:rPr>
      </w:r>
    </w:p>
    <w:p>
      <w:pPr>
        <w:pStyle w:val="Heading1"/>
        <w:ind w:hanging="0" w:start="0"/>
        <w:rPr>
          <w:sz w:val="24"/>
          <w:szCs w:val="24"/>
        </w:rPr>
      </w:pPr>
      <w:r>
        <w:rPr>
          <w:sz w:val="24"/>
          <w:szCs w:val="24"/>
        </w:rPr>
        <w:t>Introduction</w:t>
      </w:r>
    </w:p>
    <w:p>
      <w:pPr>
        <w:pStyle w:val="Normal"/>
        <w:rPr/>
      </w:pPr>
      <w:r>
        <w:rPr>
          <w:sz w:val="22"/>
          <w:szCs w:val="22"/>
        </w:rPr>
        <w:t xml:space="preserve">On September 27, 2001, the Federal Energy Commission issued a Notice of Proposed Regulation proposing new standards of conduct regulations that would apply uniformly to natural gas pipelines and transmitting public utilities currently subject to gas standards of conduct. The Commission is proposing one set of standards to govern the relationships between regulated transmission providers and </w:t>
      </w:r>
      <w:r>
        <w:rPr>
          <w:sz w:val="22"/>
          <w:szCs w:val="22"/>
          <w:u w:val="single"/>
        </w:rPr>
        <w:t>all</w:t>
      </w:r>
      <w:r>
        <w:rPr>
          <w:sz w:val="22"/>
          <w:szCs w:val="22"/>
        </w:rPr>
        <w:t xml:space="preserve"> energy affiliates in Part 358. The thrust of the proposed rulemaking is to ensure that transmission providers’ employees function independently from the sales and marketing employees and all energy affiliates.  </w:t>
      </w:r>
    </w:p>
    <w:p>
      <w:pPr>
        <w:pStyle w:val="Normal"/>
        <w:rPr>
          <w:sz w:val="22"/>
          <w:szCs w:val="22"/>
        </w:rPr>
      </w:pPr>
      <w:r>
        <w:rPr>
          <w:sz w:val="22"/>
          <w:szCs w:val="22"/>
        </w:rPr>
      </w:r>
    </w:p>
    <w:p>
      <w:pPr>
        <w:pStyle w:val="Heading1"/>
        <w:ind w:hanging="0" w:start="0"/>
        <w:rPr/>
      </w:pPr>
      <w:r>
        <w:rPr/>
        <w:t>Existing Regulations</w:t>
      </w:r>
    </w:p>
    <w:p>
      <w:pPr>
        <w:pStyle w:val="BodyText"/>
        <w:rPr/>
      </w:pPr>
      <w:r>
        <w:rPr/>
        <w:t xml:space="preserve">Current standards do not permit giving marketing affiliates undue preference over non-affiliated transportation customers for purposes of preventing the abuse of market power.  </w:t>
      </w:r>
    </w:p>
    <w:p>
      <w:pPr>
        <w:pStyle w:val="BodyText"/>
        <w:numPr>
          <w:ilvl w:val="0"/>
          <w:numId w:val="2"/>
        </w:numPr>
        <w:tabs>
          <w:tab w:val="clear" w:pos="720"/>
          <w:tab w:val="left" w:pos="0" w:leader="none"/>
          <w:tab w:val="left" w:pos="360" w:leader="none"/>
        </w:tabs>
        <w:ind w:hanging="720" w:start="1080" w:end="0"/>
        <w:rPr/>
      </w:pPr>
      <w:r>
        <w:rPr/>
        <w:t>As of 1988, gas pipeline standards were issued to prevent preferential treatment of affiliates in Order No. 497 (subsequent rules: Order Nos. 566, 599 and 637)</w:t>
      </w:r>
    </w:p>
    <w:p>
      <w:pPr>
        <w:pStyle w:val="BodyText"/>
        <w:numPr>
          <w:ilvl w:val="0"/>
          <w:numId w:val="2"/>
        </w:numPr>
        <w:tabs>
          <w:tab w:val="clear" w:pos="720"/>
          <w:tab w:val="left" w:pos="0" w:leader="none"/>
          <w:tab w:val="left" w:pos="360" w:leader="none"/>
        </w:tabs>
        <w:ind w:hanging="720" w:start="1080" w:end="0"/>
        <w:rPr/>
      </w:pPr>
      <w:r>
        <w:rPr/>
        <w:t>In 1996, the Commission issued Order Nos. 888 and 889 requiring electric transmission providers to provide open-access transmission service;</w:t>
      </w:r>
    </w:p>
    <w:p>
      <w:pPr>
        <w:pStyle w:val="Normal"/>
        <w:numPr>
          <w:ilvl w:val="0"/>
          <w:numId w:val="2"/>
        </w:numPr>
        <w:tabs>
          <w:tab w:val="clear" w:pos="720"/>
          <w:tab w:val="left" w:pos="0" w:leader="none"/>
          <w:tab w:val="left" w:pos="360" w:leader="none"/>
        </w:tabs>
        <w:ind w:hanging="720" w:start="1080" w:end="0"/>
        <w:rPr>
          <w:sz w:val="22"/>
          <w:szCs w:val="22"/>
        </w:rPr>
      </w:pPr>
      <w:r>
        <w:rPr>
          <w:sz w:val="22"/>
          <w:szCs w:val="22"/>
        </w:rPr>
        <w:t>Employees who perform transmission services must be separated from commodity marketing services;</w:t>
      </w:r>
    </w:p>
    <w:p>
      <w:pPr>
        <w:pStyle w:val="Normal"/>
        <w:numPr>
          <w:ilvl w:val="0"/>
          <w:numId w:val="2"/>
        </w:numPr>
        <w:tabs>
          <w:tab w:val="clear" w:pos="720"/>
          <w:tab w:val="left" w:pos="0" w:leader="none"/>
          <w:tab w:val="left" w:pos="360" w:leader="none"/>
        </w:tabs>
        <w:ind w:hanging="720" w:start="1080" w:end="0"/>
        <w:rPr>
          <w:sz w:val="22"/>
          <w:szCs w:val="22"/>
        </w:rPr>
      </w:pPr>
      <w:r>
        <w:rPr>
          <w:sz w:val="22"/>
          <w:szCs w:val="22"/>
        </w:rPr>
        <w:t>All transmission customers are treated non-discriminatorily (affiliated and non-affiliated)</w:t>
      </w:r>
    </w:p>
    <w:p>
      <w:pPr>
        <w:pStyle w:val="Normal"/>
        <w:numPr>
          <w:ilvl w:val="0"/>
          <w:numId w:val="2"/>
        </w:numPr>
        <w:tabs>
          <w:tab w:val="clear" w:pos="720"/>
          <w:tab w:val="left" w:pos="0" w:leader="none"/>
          <w:tab w:val="left" w:pos="360" w:leader="none"/>
        </w:tabs>
        <w:ind w:hanging="360" w:start="1080" w:end="0"/>
        <w:rPr>
          <w:sz w:val="22"/>
          <w:szCs w:val="22"/>
        </w:rPr>
      </w:pPr>
      <w:r>
        <w:rPr>
          <w:sz w:val="22"/>
          <w:szCs w:val="22"/>
        </w:rPr>
        <w:t>Bundled sales function for retail native load can perform transmission functions</w:t>
      </w:r>
    </w:p>
    <w:p>
      <w:pPr>
        <w:pStyle w:val="Normal"/>
        <w:rPr>
          <w:sz w:val="22"/>
          <w:szCs w:val="22"/>
        </w:rPr>
      </w:pPr>
      <w:r>
        <w:rPr>
          <w:sz w:val="22"/>
          <w:szCs w:val="22"/>
        </w:rPr>
      </w:r>
    </w:p>
    <w:p>
      <w:pPr>
        <w:pStyle w:val="Heading1"/>
        <w:ind w:hanging="0" w:start="0"/>
        <w:rPr/>
      </w:pPr>
      <w:r>
        <w:rPr/>
        <w:t>Current Conditions</w:t>
      </w:r>
    </w:p>
    <w:p>
      <w:pPr>
        <w:pStyle w:val="BodyText"/>
        <w:rPr/>
      </w:pPr>
      <w:r>
        <w:rPr/>
        <w:t>Since these standards were adopted several significant changes have occurred such as unbundling, capacity release, e-commerce with high-speed transactions of both physical and financial transactions, a wider array of affiliates and wide array of services including bundled sales, asset management, price hedging, risk management. The electric industry has seen increased numbers of power marketers, increased market for available capacity, increased number of power transactions, new uses of transmission grid, on-line trading and more unaffiliated unregulated entities and convergence with both industries has taken place.</w:t>
      </w:r>
    </w:p>
    <w:p>
      <w:pPr>
        <w:pStyle w:val="Normal"/>
        <w:rPr>
          <w:sz w:val="22"/>
          <w:szCs w:val="22"/>
        </w:rPr>
      </w:pPr>
      <w:r>
        <w:rPr>
          <w:sz w:val="22"/>
          <w:szCs w:val="22"/>
        </w:rPr>
      </w:r>
    </w:p>
    <w:p>
      <w:pPr>
        <w:pStyle w:val="Heading1"/>
        <w:ind w:hanging="0" w:start="0"/>
        <w:rPr/>
      </w:pPr>
      <w:r>
        <w:rPr/>
        <w:t>Commission Concerns With Existing Standards</w:t>
      </w:r>
    </w:p>
    <w:p>
      <w:pPr>
        <w:pStyle w:val="Normal"/>
        <w:numPr>
          <w:ilvl w:val="0"/>
          <w:numId w:val="3"/>
        </w:numPr>
        <w:tabs>
          <w:tab w:val="clear" w:pos="720"/>
          <w:tab w:val="left" w:pos="0" w:leader="none"/>
        </w:tabs>
        <w:ind w:hanging="720" w:start="720" w:end="0"/>
        <w:rPr>
          <w:sz w:val="22"/>
          <w:szCs w:val="22"/>
          <w:u w:val="single"/>
        </w:rPr>
      </w:pPr>
      <w:r>
        <w:rPr>
          <w:sz w:val="22"/>
          <w:szCs w:val="22"/>
          <w:u w:val="single"/>
        </w:rPr>
        <w:t>Standards Should Apply To All Energy Affiliates</w:t>
      </w:r>
    </w:p>
    <w:p>
      <w:pPr>
        <w:pStyle w:val="BodyText"/>
        <w:numPr>
          <w:ilvl w:val="0"/>
          <w:numId w:val="0"/>
        </w:numPr>
        <w:ind w:hanging="0" w:start="360" w:end="0"/>
        <w:rPr/>
      </w:pPr>
      <w:r>
        <w:rPr/>
        <w:t xml:space="preserve">The Commission is concerned that a transmission provider can transfer its market power to affiliated businesses and potentially affect competition adversely. This is the focus of the Commission’s order in the Dominion merger with Consolidated Natural Gas. </w:t>
      </w:r>
      <w:r>
        <w:rPr>
          <w:i/>
          <w:iCs/>
        </w:rPr>
        <w:t xml:space="preserve">See </w:t>
      </w:r>
      <w:r>
        <w:rPr/>
        <w:t xml:space="preserve">Dominion Resources, Inc. and Consolidated Natural Gas, 89 FERC ¶ 61,162 (1999). The Commission conditioned approval of the merger on the application of the gas standards of conduct applying to all energy affiliates of the merged company. </w:t>
      </w:r>
    </w:p>
    <w:p>
      <w:pPr>
        <w:pStyle w:val="BodyText"/>
        <w:numPr>
          <w:ilvl w:val="0"/>
          <w:numId w:val="0"/>
        </w:numPr>
        <w:ind w:hanging="0" w:start="360" w:end="0"/>
        <w:rPr/>
      </w:pPr>
      <w:r>
        <w:rPr/>
      </w:r>
    </w:p>
    <w:p>
      <w:pPr>
        <w:pStyle w:val="Normal"/>
        <w:numPr>
          <w:ilvl w:val="0"/>
          <w:numId w:val="3"/>
        </w:numPr>
        <w:tabs>
          <w:tab w:val="clear" w:pos="720"/>
          <w:tab w:val="left" w:pos="0" w:leader="none"/>
        </w:tabs>
        <w:ind w:hanging="720" w:start="720" w:end="0"/>
        <w:rPr>
          <w:sz w:val="22"/>
          <w:szCs w:val="22"/>
          <w:u w:val="single"/>
        </w:rPr>
      </w:pPr>
      <w:r>
        <w:rPr>
          <w:sz w:val="22"/>
          <w:szCs w:val="22"/>
          <w:u w:val="single"/>
        </w:rPr>
        <w:t>Prohibit Sharing of Confidential Information With All Energy Affiliates</w:t>
      </w:r>
    </w:p>
    <w:p>
      <w:pPr>
        <w:pStyle w:val="BodyText2"/>
        <w:numPr>
          <w:ilvl w:val="0"/>
          <w:numId w:val="0"/>
        </w:numPr>
        <w:ind w:hanging="0" w:start="360"/>
        <w:rPr/>
      </w:pPr>
      <w:r>
        <w:rPr/>
        <w:t xml:space="preserve">Current standards do not prohibit the sharing of confidential shipper information and transportation information with all energy affiliates. A pipeline can inform its affiliated asset manager about a proposed expansion but does not need to inform non-affiliates, unless the asset manager is a marketing affiliate. </w:t>
      </w:r>
    </w:p>
    <w:p>
      <w:pPr>
        <w:pStyle w:val="BodyText2"/>
        <w:numPr>
          <w:ilvl w:val="0"/>
          <w:numId w:val="0"/>
        </w:numPr>
        <w:ind w:hanging="0" w:start="360"/>
        <w:rPr/>
      </w:pPr>
      <w:r>
        <w:rPr/>
      </w:r>
    </w:p>
    <w:p>
      <w:pPr>
        <w:pStyle w:val="BodyText2"/>
        <w:numPr>
          <w:ilvl w:val="0"/>
          <w:numId w:val="3"/>
        </w:numPr>
        <w:tabs>
          <w:tab w:val="clear" w:pos="720"/>
          <w:tab w:val="left" w:pos="0" w:leader="none"/>
        </w:tabs>
        <w:ind w:hanging="360" w:start="720" w:end="0"/>
        <w:rPr>
          <w:u w:val="single"/>
        </w:rPr>
      </w:pPr>
      <w:r>
        <w:rPr>
          <w:u w:val="single"/>
        </w:rPr>
        <w:t>Standards Must Apply to Other Non-Marketing Affiliates</w:t>
      </w:r>
    </w:p>
    <w:p>
      <w:pPr>
        <w:pStyle w:val="BodyText2"/>
        <w:rPr/>
      </w:pPr>
      <w:r>
        <w:rPr/>
        <w:t>Non-marketing affiliates compete against non-affiliates for transmission services in capacity release transactions, in power sales, and in siting new generation. Non-marketing affiliates can control large amounts of pipeline capacity on their affiliates pipelines, yet are not covered by the standards.</w:t>
      </w:r>
    </w:p>
    <w:p>
      <w:pPr>
        <w:pStyle w:val="BodyText2"/>
        <w:rPr/>
      </w:pPr>
      <w:r>
        <w:rPr/>
      </w:r>
    </w:p>
    <w:p>
      <w:pPr>
        <w:pStyle w:val="BodyText2"/>
        <w:ind w:start="0" w:end="0"/>
        <w:rPr>
          <w:b/>
          <w:bCs/>
        </w:rPr>
      </w:pPr>
      <w:r>
        <w:rPr>
          <w:b/>
          <w:bCs/>
        </w:rPr>
        <w:t>Proposed Standards</w:t>
      </w:r>
    </w:p>
    <w:p>
      <w:pPr>
        <w:pStyle w:val="BodyText2"/>
        <w:ind w:start="0" w:end="0"/>
        <w:rPr/>
      </w:pPr>
      <w:r>
        <w:rPr/>
        <w:t xml:space="preserve">The proposed standards combine, revise and conform the current gas and electric standards stated in Parts 37 and 161 of regulations with the new Part 358. The proposed standards will apply uniformly to all transmission providers, i.e. entities that are currently subject to gas and electric standards. A transmission provider that is, itself, a Commission-approved RTO is exempt, but not necessarily members of RTOs. There may be a continuing need to apply the standards to electric transmission providers that are members of RTOs. </w:t>
      </w:r>
    </w:p>
    <w:p>
      <w:pPr>
        <w:pStyle w:val="BodyText2"/>
        <w:ind w:start="0" w:end="0"/>
        <w:rPr/>
      </w:pPr>
      <w:r>
        <w:rPr/>
      </w:r>
    </w:p>
    <w:p>
      <w:pPr>
        <w:pStyle w:val="BodyText2"/>
        <w:ind w:start="0" w:end="0"/>
        <w:rPr/>
      </w:pPr>
      <w:r>
        <w:rPr/>
        <w:t xml:space="preserve">In this NOPR, the Commission is requiring a separation of the transmission function from all sales functions. All merchant function employees would need to be separated from transmission function employees whether they are engaged in bundled retail sales or wholesale sales. Measures must be implemented to restrict native load sales employees’ preferential access to transmission information (In the final rule, the Commission may determine that this separation is not required). No changes are made to existing record keeping or posting requirements. </w:t>
      </w:r>
    </w:p>
    <w:p>
      <w:pPr>
        <w:pStyle w:val="BodyText2"/>
        <w:ind w:hanging="2160" w:start="2160" w:end="0"/>
        <w:rPr/>
      </w:pPr>
      <w:r>
        <w:rPr/>
      </w:r>
    </w:p>
    <w:p>
      <w:pPr>
        <w:pStyle w:val="BodyText2"/>
        <w:ind w:hanging="2160" w:start="2160" w:end="0"/>
        <w:rPr>
          <w:u w:val="single"/>
        </w:rPr>
      </w:pPr>
      <w:r>
        <w:rPr>
          <w:u w:val="single"/>
        </w:rPr>
        <w:t>Definition</w:t>
      </w:r>
    </w:p>
    <w:p>
      <w:pPr>
        <w:pStyle w:val="BodyText2"/>
        <w:ind w:start="0" w:end="0"/>
        <w:rPr/>
      </w:pPr>
      <w:r>
        <w:rPr/>
        <w:t>Transmission provider is defined as any public utility that owns, operates or controls interstate transmission facilities or natural gas pipeline company subject to current standards of conduct. An energy affiliate is defined as any entity affiliated with a transmission provider (gas or electric) engaging in or is involved in transmission transactions or manages or controls transmission capacity or buys, sells, trades or administers</w:t>
      </w:r>
      <w:r>
        <w:rPr>
          <w:u w:val="single"/>
        </w:rPr>
        <w:t xml:space="preserve"> </w:t>
      </w:r>
      <w:r>
        <w:rPr/>
        <w:t>natural gas or electric energy or engages in financial transactions relating to the sale or transmission of natural gas or electric energy (i.e. asset managers are deemed energy affiliates)</w:t>
      </w:r>
    </w:p>
    <w:p>
      <w:pPr>
        <w:pStyle w:val="BodyText2"/>
        <w:ind w:start="0" w:end="0"/>
        <w:rPr/>
      </w:pPr>
      <w:r>
        <w:rPr>
          <w:i/>
          <w:iCs/>
        </w:rPr>
        <w:t>Note:</w:t>
      </w:r>
      <w:r>
        <w:rPr/>
        <w:t xml:space="preserve"> This definition of energy affiliate, transmission providers would be required to apply the standards of conduct to their relationships with their affiliated producers, gatherers and LDCs.</w:t>
      </w:r>
    </w:p>
    <w:p>
      <w:pPr>
        <w:pStyle w:val="BodyText2"/>
        <w:ind w:hanging="2160" w:start="2160" w:end="0"/>
        <w:rPr/>
      </w:pPr>
      <w:r>
        <w:rPr/>
      </w:r>
    </w:p>
    <w:p>
      <w:pPr>
        <w:pStyle w:val="BodyText2"/>
        <w:ind w:hanging="2160" w:start="2160" w:end="0"/>
        <w:rPr>
          <w:b/>
          <w:bCs/>
        </w:rPr>
      </w:pPr>
      <w:r>
        <w:rPr>
          <w:b/>
          <w:bCs/>
        </w:rPr>
        <w:t>Independent Function</w:t>
      </w:r>
    </w:p>
    <w:p>
      <w:pPr>
        <w:pStyle w:val="BodyText2"/>
        <w:ind w:start="0" w:end="0"/>
        <w:rPr>
          <w:u w:val="single"/>
        </w:rPr>
      </w:pPr>
      <w:r>
        <w:rPr>
          <w:u w:val="single"/>
        </w:rPr>
        <w:t>Separation of Functions</w:t>
      </w:r>
    </w:p>
    <w:p>
      <w:pPr>
        <w:pStyle w:val="BodyText2"/>
        <w:ind w:start="0" w:end="0"/>
        <w:rPr/>
      </w:pPr>
      <w:r>
        <w:rPr/>
        <w:t xml:space="preserve">Transmission function employees must be separated and function independently from the transmission providers’ sales and marketing employees and employees of all energy affiliates. In the event of emergencies affecting system reliability, waiver may be requested. </w:t>
      </w:r>
    </w:p>
    <w:p>
      <w:pPr>
        <w:pStyle w:val="BodyText2"/>
        <w:ind w:start="0" w:end="0"/>
        <w:rPr/>
      </w:pPr>
      <w:r>
        <w:rPr/>
      </w:r>
    </w:p>
    <w:p>
      <w:pPr>
        <w:pStyle w:val="BodyText2"/>
        <w:ind w:start="0" w:end="0"/>
        <w:rPr>
          <w:u w:val="single"/>
        </w:rPr>
      </w:pPr>
      <w:r>
        <w:rPr>
          <w:u w:val="single"/>
        </w:rPr>
        <w:t>Identification of Affiliates on Internet</w:t>
      </w:r>
    </w:p>
    <w:p>
      <w:pPr>
        <w:pStyle w:val="BodyText2"/>
        <w:ind w:start="0" w:end="0"/>
        <w:rPr/>
      </w:pPr>
      <w:r>
        <w:rPr/>
        <w:t>All transmission providers are required to post information regarding their marketing and sales employees and energy affiliates on websites. Staff has found that gathering up-to-date information about the relationship of pipelines and their other affiliated shippers was extremely difficult. The Commission is requesting comment whether these rules should require the posting of the potential merger partners on OASIS / or website?</w:t>
      </w:r>
    </w:p>
    <w:p>
      <w:pPr>
        <w:pStyle w:val="BodyText2"/>
        <w:ind w:start="0" w:end="0"/>
        <w:rPr/>
      </w:pPr>
      <w:r>
        <w:rPr/>
      </w:r>
    </w:p>
    <w:p>
      <w:pPr>
        <w:pStyle w:val="BodyText2"/>
        <w:ind w:start="0" w:end="0"/>
        <w:rPr>
          <w:u w:val="single"/>
        </w:rPr>
      </w:pPr>
      <w:r>
        <w:rPr>
          <w:u w:val="single"/>
        </w:rPr>
        <w:t>Transfer of Employees</w:t>
      </w:r>
    </w:p>
    <w:p>
      <w:pPr>
        <w:pStyle w:val="BodyText2"/>
        <w:ind w:start="0" w:end="0"/>
        <w:rPr/>
      </w:pPr>
      <w:r>
        <w:rPr/>
        <w:t xml:space="preserve">The proposed rule parallels current requirements (one-transfer is acceptable, cycling of employees prohibited, </w:t>
      </w:r>
      <w:r>
        <w:rPr>
          <w:i/>
          <w:iCs/>
        </w:rPr>
        <w:t>see</w:t>
      </w:r>
      <w:r>
        <w:rPr/>
        <w:t xml:space="preserve"> KN Interstate Gas Transmission, 80 FERC 61212 (1997)). Notices of employee transfers shall be posted on website or OASIS. This is to ensure cycling is not occurring. The Commission requests comments on whether there is a need for clearer standards for transfers of employees among the transmission function, marketing or sales function and energy affiliates and what standards should the Commission adopt. </w:t>
      </w:r>
    </w:p>
    <w:p>
      <w:pPr>
        <w:pStyle w:val="BodyText2"/>
        <w:ind w:start="0" w:end="0"/>
        <w:rPr/>
      </w:pPr>
      <w:r>
        <w:rPr/>
      </w:r>
    </w:p>
    <w:p>
      <w:pPr>
        <w:pStyle w:val="BodyText2"/>
        <w:ind w:start="0" w:end="0"/>
        <w:rPr>
          <w:u w:val="single"/>
        </w:rPr>
      </w:pPr>
      <w:r>
        <w:rPr>
          <w:u w:val="single"/>
        </w:rPr>
        <w:t>Books and Records</w:t>
      </w:r>
    </w:p>
    <w:p>
      <w:pPr>
        <w:pStyle w:val="BodyText2"/>
        <w:ind w:start="0" w:end="0"/>
        <w:rPr/>
      </w:pPr>
      <w:r>
        <w:rPr/>
        <w:t xml:space="preserve">The proposed rule parallels current requirements. Providers must keep separate books and records from those of their energy affiliates. </w:t>
      </w:r>
    </w:p>
    <w:p>
      <w:pPr>
        <w:pStyle w:val="BodyText2"/>
        <w:ind w:start="0" w:end="0"/>
        <w:rPr/>
      </w:pPr>
      <w:r>
        <w:rPr/>
      </w:r>
    </w:p>
    <w:p>
      <w:pPr>
        <w:pStyle w:val="BodyText2"/>
        <w:ind w:start="0" w:end="0"/>
        <w:rPr>
          <w:u w:val="single"/>
        </w:rPr>
      </w:pPr>
      <w:r>
        <w:rPr>
          <w:u w:val="single"/>
        </w:rPr>
        <w:t>Written Procedures</w:t>
      </w:r>
    </w:p>
    <w:p>
      <w:pPr>
        <w:pStyle w:val="BodyText2"/>
        <w:ind w:start="0" w:end="0"/>
        <w:rPr/>
      </w:pPr>
      <w:r>
        <w:rPr/>
        <w:t>Under the proposed rule, transmission providers must file with the Commission written procedures implementing standards of conduct. Restating the regulations or incorporating them by reference is unacceptable to the Commission. There must be an explanation of measures used to implement the standards (e.g. how transmission information and confidential customer information is kept secure, whether the standards have been distributed to employees or whether employees have been offered training on standards). The Commission requests comment on whether it is sufficient to file this information with the Commission or whether it should be posted on OASIS /websites. The Commission also asks whether this requirement is a useful technique for ensuring compliance or whether the Commission should adopt other measures.</w:t>
      </w:r>
    </w:p>
    <w:p>
      <w:pPr>
        <w:pStyle w:val="BodyText2"/>
        <w:ind w:start="0" w:end="0"/>
        <w:rPr/>
      </w:pPr>
      <w:r>
        <w:rPr/>
      </w:r>
    </w:p>
    <w:p>
      <w:pPr>
        <w:pStyle w:val="BodyText2"/>
        <w:ind w:start="0" w:end="0"/>
        <w:rPr>
          <w:b/>
          <w:bCs/>
        </w:rPr>
      </w:pPr>
      <w:r>
        <w:rPr>
          <w:b/>
          <w:bCs/>
        </w:rPr>
        <w:t>Non-Discriminatory Requirements</w:t>
      </w:r>
    </w:p>
    <w:p>
      <w:pPr>
        <w:pStyle w:val="BodyText2"/>
        <w:ind w:start="0" w:end="0"/>
        <w:rPr/>
      </w:pPr>
      <w:r>
        <w:rPr/>
        <w:t>The proposed standards specify the ways in which a transmission provider must ensure equal treatment and equal access to information. Included are:</w:t>
      </w:r>
    </w:p>
    <w:p>
      <w:pPr>
        <w:pStyle w:val="BodyText2"/>
        <w:ind w:start="0" w:end="0"/>
        <w:rPr/>
      </w:pPr>
      <w:r>
        <w:rPr/>
      </w:r>
    </w:p>
    <w:p>
      <w:pPr>
        <w:pStyle w:val="BodyText2"/>
        <w:ind w:start="0" w:end="0"/>
        <w:rPr>
          <w:u w:val="single"/>
        </w:rPr>
      </w:pPr>
      <w:r>
        <w:rPr>
          <w:u w:val="single"/>
        </w:rPr>
        <w:t>Information Access</w:t>
      </w:r>
    </w:p>
    <w:p>
      <w:pPr>
        <w:pStyle w:val="BodyText2"/>
        <w:ind w:start="0" w:end="0"/>
        <w:rPr/>
      </w:pPr>
      <w:r>
        <w:rPr/>
        <w:t>This proposed rule limits the marketing and sales employees and the energy affiliates’ employees’ access to transmission information. It is designed to prevent providers from giving their marketing and sales employees and energy affiliate employees undue preference. The proposal would require transmission providers to implement security measures to restrict access to transmission information.</w:t>
      </w:r>
    </w:p>
    <w:p>
      <w:pPr>
        <w:pStyle w:val="BodyText2"/>
        <w:ind w:start="0" w:end="0"/>
        <w:rPr>
          <w:u w:val="single"/>
        </w:rPr>
      </w:pPr>
      <w:r>
        <w:rPr>
          <w:u w:val="single"/>
        </w:rPr>
      </w:r>
    </w:p>
    <w:p>
      <w:pPr>
        <w:pStyle w:val="BodyText2"/>
        <w:ind w:start="0" w:end="0"/>
        <w:rPr>
          <w:u w:val="single"/>
        </w:rPr>
      </w:pPr>
      <w:r>
        <w:rPr>
          <w:u w:val="single"/>
        </w:rPr>
        <w:t>Prohibited Disclosure</w:t>
      </w:r>
    </w:p>
    <w:p>
      <w:pPr>
        <w:pStyle w:val="BodyText2"/>
        <w:ind w:start="0" w:end="0"/>
        <w:rPr/>
      </w:pPr>
      <w:r>
        <w:rPr/>
        <w:t xml:space="preserve">Transmission providers would be prohibited from disclosing transmission information about transmission system operations or information acquired from non-affiliated customers to their marketing and sales employees and the energy affiliates’ employees through non-public communications obtained through OASIS or website that is not contemporaneously available to the public. An employee of a transmission provider may not share non-affiliated, third party transmission information with its marketing or sales employees or energy affiliate employees, except for information that must be posted on OASIS or website. </w:t>
      </w:r>
    </w:p>
    <w:p>
      <w:pPr>
        <w:pStyle w:val="BodyText2"/>
        <w:ind w:start="0" w:end="0"/>
        <w:rPr/>
      </w:pPr>
      <w:r>
        <w:rPr/>
      </w:r>
    </w:p>
    <w:p>
      <w:pPr>
        <w:pStyle w:val="BodyText2"/>
        <w:ind w:start="0" w:end="0"/>
        <w:rPr>
          <w:u w:val="single"/>
        </w:rPr>
      </w:pPr>
      <w:r>
        <w:rPr>
          <w:u w:val="single"/>
        </w:rPr>
        <w:t>Implementing Tariffs</w:t>
      </w:r>
    </w:p>
    <w:p>
      <w:pPr>
        <w:pStyle w:val="BodyText2"/>
        <w:ind w:start="0" w:end="0"/>
        <w:rPr/>
      </w:pPr>
      <w:r>
        <w:rPr/>
        <w:t xml:space="preserve">The proposed rule would require transmission providers to treat all customers in a fair and impartial manner. Transmission providers would be prohibited from giving their marketing and sales employees and energy affiliates’ employees preferential treatment. </w:t>
      </w:r>
    </w:p>
    <w:p>
      <w:pPr>
        <w:pStyle w:val="BodyText2"/>
        <w:ind w:start="0" w:end="0"/>
        <w:rPr/>
      </w:pPr>
      <w:r>
        <w:rPr/>
      </w:r>
    </w:p>
    <w:p>
      <w:pPr>
        <w:pStyle w:val="BodyText2"/>
        <w:ind w:start="0" w:end="0"/>
        <w:rPr>
          <w:u w:val="single"/>
        </w:rPr>
      </w:pPr>
      <w:r>
        <w:rPr>
          <w:u w:val="single"/>
        </w:rPr>
        <w:t>Discounts</w:t>
      </w:r>
    </w:p>
    <w:p>
      <w:pPr>
        <w:pStyle w:val="BodyText2"/>
        <w:ind w:start="0" w:end="0"/>
        <w:rPr/>
      </w:pPr>
      <w:r>
        <w:rPr/>
        <w:t xml:space="preserve">The proposed rule is consistent with the method electric transmission providers currently use – any offer of a discount for any transmission service made by the transmission provider must be announced to all potential customers solely by posting on the OASIS. This rule remains the same for the OASIS requirements. The proposal does change pipeline requirements by requiring that transmission providers announce all discounts (not only discounts to affiliates) to all potential customers via the website at the time of offers. The posting must remain on the website for 60 days. The Commission does not propose to change the current policy permitting natural gas transmission providers to offer selective discounts. The Commission requests comments on whether it would be necessary to continue posting discount information for gas transactions under proposed Part 385.5(d) when rate information is required to be posted under Part 284.13(b)(1) and (2) of regulations. </w:t>
      </w:r>
    </w:p>
    <w:p>
      <w:pPr>
        <w:pStyle w:val="BodyText2"/>
        <w:ind w:start="0" w:end="0"/>
        <w:rPr/>
      </w:pPr>
      <w:r>
        <w:rPr/>
      </w:r>
    </w:p>
    <w:p>
      <w:pPr>
        <w:pStyle w:val="BodyText2"/>
        <w:ind w:start="0" w:end="0"/>
        <w:rPr>
          <w:b/>
          <w:bCs/>
        </w:rPr>
      </w:pPr>
      <w:r>
        <w:rPr>
          <w:b/>
          <w:bCs/>
        </w:rPr>
        <w:t>Additional Policy Changes</w:t>
      </w:r>
    </w:p>
    <w:p>
      <w:pPr>
        <w:pStyle w:val="BodyText2"/>
        <w:ind w:start="0" w:end="0"/>
        <w:rPr/>
      </w:pPr>
      <w:r>
        <w:rPr/>
        <w:t>The Commission requests comments on additional measures that may be necessary to limit transmission providers abilities to grant their affiliates undue preferences. These include:</w:t>
      </w:r>
    </w:p>
    <w:p>
      <w:pPr>
        <w:pStyle w:val="BodyText2"/>
        <w:ind w:start="0" w:end="0"/>
        <w:rPr/>
      </w:pPr>
      <w:r>
        <w:rPr/>
      </w:r>
    </w:p>
    <w:p>
      <w:pPr>
        <w:pStyle w:val="BodyText2"/>
        <w:numPr>
          <w:ilvl w:val="0"/>
          <w:numId w:val="4"/>
        </w:numPr>
        <w:tabs>
          <w:tab w:val="clear" w:pos="720"/>
          <w:tab w:val="left" w:pos="0" w:leader="none"/>
          <w:tab w:val="left" w:pos="360" w:leader="none"/>
        </w:tabs>
        <w:ind w:hanging="720" w:start="1080" w:end="0"/>
        <w:rPr/>
      </w:pPr>
      <w:r>
        <w:rPr/>
        <w:t xml:space="preserve">whether bidding activities, such as marketing affiliates outbidding other potential shippers for pipeline capacity by paying an above-the-market price, is taking place and if so, how such bidding activity by marketing affiliates affects the gas market. </w:t>
      </w:r>
    </w:p>
    <w:p>
      <w:pPr>
        <w:pStyle w:val="BodyText2"/>
        <w:numPr>
          <w:ilvl w:val="0"/>
          <w:numId w:val="4"/>
        </w:numPr>
        <w:tabs>
          <w:tab w:val="clear" w:pos="720"/>
          <w:tab w:val="left" w:pos="0" w:leader="none"/>
          <w:tab w:val="left" w:pos="360" w:leader="none"/>
        </w:tabs>
        <w:ind w:hanging="720" w:start="1080" w:end="0"/>
        <w:rPr/>
      </w:pPr>
      <w:r>
        <w:rPr/>
        <w:t>whether to limit the amount of capacity an affiliate may hold on a transmission provider.</w:t>
      </w:r>
    </w:p>
    <w:p>
      <w:pPr>
        <w:pStyle w:val="BodyText2"/>
        <w:numPr>
          <w:ilvl w:val="0"/>
          <w:numId w:val="4"/>
        </w:numPr>
        <w:tabs>
          <w:tab w:val="clear" w:pos="720"/>
          <w:tab w:val="left" w:pos="0" w:leader="none"/>
          <w:tab w:val="left" w:pos="360" w:leader="none"/>
        </w:tabs>
        <w:ind w:hanging="720" w:start="1080" w:end="0"/>
        <w:rPr/>
      </w:pPr>
      <w:r>
        <w:rPr/>
        <w:t xml:space="preserve">whether to prohibit profit sharing agreements with transmission provider affiliates and non-affiliates. </w:t>
      </w:r>
    </w:p>
    <w:p>
      <w:pPr>
        <w:pStyle w:val="BodyText2"/>
        <w:numPr>
          <w:ilvl w:val="0"/>
          <w:numId w:val="4"/>
        </w:numPr>
        <w:tabs>
          <w:tab w:val="clear" w:pos="720"/>
          <w:tab w:val="left" w:pos="0" w:leader="none"/>
          <w:tab w:val="left" w:pos="360" w:leader="none"/>
        </w:tabs>
        <w:ind w:hanging="360" w:start="1080" w:end="0"/>
        <w:rPr/>
      </w:pPr>
      <w:r>
        <w:rPr/>
        <w:t>whether to prohibit affiliated power generators from connecting with affiliated pipelines.</w:t>
      </w:r>
    </w:p>
    <w:p>
      <w:pPr>
        <w:pStyle w:val="BodyText2"/>
        <w:ind w:start="0" w:end="0"/>
        <w:rPr/>
      </w:pPr>
      <w:r>
        <w:rPr/>
      </w:r>
    </w:p>
    <w:p>
      <w:pPr>
        <w:pStyle w:val="BodyText2"/>
        <w:ind w:start="0" w:end="0"/>
        <w:rPr>
          <w:u w:val="single"/>
        </w:rPr>
      </w:pPr>
      <w:r>
        <w:rPr>
          <w:u w:val="single"/>
        </w:rPr>
        <w:t>Public Comment</w:t>
      </w:r>
    </w:p>
    <w:p>
      <w:pPr>
        <w:pStyle w:val="BodyText2"/>
        <w:ind w:start="0" w:end="0"/>
        <w:rPr/>
      </w:pPr>
      <w:r>
        <w:rPr/>
        <w:t xml:space="preserve">Comments should be submitted (electronically) 45 days after date of publication in the Federal Register (usually 7-10 days after FERC issuance).  Internet email: </w:t>
      </w:r>
      <w:r>
        <w:rPr>
          <w:u w:val="single"/>
        </w:rPr>
        <w:t>comment.rm@ferc.fed.us</w:t>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Antique Olv (W1)">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RM01-10 Summary.doc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RM01-10 Summary.doc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Memo</w:t>
    </w:r>
  </w:p>
  <w:p>
    <w:pPr>
      <w:pStyle w:val="Header"/>
      <w:rPr/>
    </w:pPr>
    <w:r>
      <w:rPr/>
      <w:fldChar w:fldCharType="begin"/>
    </w:r>
    <w:r>
      <w:rPr/>
      <w:instrText xml:space="preserve"> DATE \@"M/d/yyyy" </w:instrText>
    </w:r>
    <w:r>
      <w:rPr/>
      <w:fldChar w:fldCharType="separate"/>
    </w:r>
    <w:r>
      <w:rPr/>
      <w:t>9/28/2025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sz w:val="22"/>
      <w:szCs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eastAsia="Arial" w:cs="Arial"/>
      <w:b/>
      <w:bCs/>
      <w:sz w:val="24"/>
      <w:szCs w:val="24"/>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eastAsia="Arial" w:cs="Arial"/>
    </w:rPr>
  </w:style>
  <w:style w:type="paragraph" w:styleId="Date">
    <w:name w:val="Date"/>
    <w:basedOn w:val="Normal"/>
    <w:qFormat/>
    <w:pPr/>
    <w:rPr>
      <w:rFonts w:ascii="Arial" w:hAnsi="Arial" w:eastAsia="Arial" w:cs="Arial"/>
    </w:rPr>
  </w:style>
  <w:style w:type="paragraph" w:styleId="To">
    <w:name w:val="To"/>
    <w:basedOn w:val="Normal"/>
    <w:qFormat/>
    <w:pPr/>
    <w:rPr>
      <w:rFonts w:ascii="Arial" w:hAnsi="Arial" w:eastAsia="Arial" w:cs="Arial"/>
    </w:rPr>
  </w:style>
  <w:style w:type="paragraph" w:styleId="From">
    <w:name w:val="From"/>
    <w:basedOn w:val="Normal"/>
    <w:qFormat/>
    <w:pPr/>
    <w:rPr>
      <w:rFonts w:ascii="Arial" w:hAnsi="Arial" w:eastAsia="Arial" w:cs="Arial"/>
    </w:rPr>
  </w:style>
  <w:style w:type="paragraph" w:styleId="Department">
    <w:name w:val="Department"/>
    <w:basedOn w:val="Normal"/>
    <w:qFormat/>
    <w:pPr/>
    <w:rPr>
      <w:rFonts w:ascii="Arial" w:hAnsi="Arial" w:eastAsia="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360" w:end="0"/>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2001-09-27T17:57:00Z</dcterms:created>
  <dc:creator>Jan Butler</dc:creator>
  <dc:description/>
  <dc:language>en-CA</dc:language>
  <cp:lastModifiedBy>jbutler</cp:lastModifiedBy>
  <cp:lastPrinted>2001-09-28T11:21:00Z</cp:lastPrinted>
  <dcterms:modified xsi:type="dcterms:W3CDTF">2001-09-28T13:51:00Z</dcterms:modified>
  <cp:revision>13</cp:revision>
  <dc:subject/>
  <dc:title>DRAFT</dc:title>
</cp:coreProperties>
</file>