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sz w:val="20"/>
        </w:rPr>
      </w:pPr>
      <w:r>
        <w:rPr>
          <w:sz w:val="20"/>
        </w:rPr>
        <w:t>NORTH AMERICAN MASTER NETTING AGREEMENT</w:t>
      </w:r>
    </w:p>
    <w:p>
      <w:pPr>
        <w:pStyle w:val="Normal"/>
        <w:bidi w:val="0"/>
        <w:ind w:hanging="0" w:start="0" w:end="0"/>
        <w:jc w:val="both"/>
        <w:rPr>
          <w:sz w:val="20"/>
        </w:rPr>
      </w:pPr>
      <w:r>
        <w:rPr>
          <w:sz w:val="20"/>
        </w:rPr>
      </w:r>
    </w:p>
    <w:p>
      <w:pPr>
        <w:pStyle w:val="Normal"/>
        <w:bidi w:val="0"/>
        <w:ind w:hanging="0" w:start="0" w:end="0"/>
        <w:jc w:val="both"/>
        <w:rPr>
          <w:sz w:val="20"/>
        </w:rPr>
      </w:pPr>
      <w:r>
        <w:rPr>
          <w:sz w:val="20"/>
        </w:rPr>
      </w:r>
    </w:p>
    <w:p>
      <w:pPr>
        <w:pStyle w:val="Normal"/>
        <w:bidi w:val="0"/>
        <w:ind w:hanging="0" w:start="0" w:end="0"/>
        <w:jc w:val="both"/>
        <w:rPr>
          <w:sz w:val="20"/>
        </w:rPr>
      </w:pPr>
      <w:r>
        <w:rPr>
          <w:sz w:val="20"/>
        </w:rPr>
        <w:t>This NORTH AMERICAN MASTER NETTING AGREEMENT (this “</w:t>
      </w:r>
      <w:r>
        <w:rPr>
          <w:b/>
          <w:i/>
          <w:sz w:val="20"/>
        </w:rPr>
        <w:t>NA Master Agreement</w:t>
      </w:r>
      <w:r>
        <w:rPr>
          <w:sz w:val="20"/>
        </w:rPr>
        <w:t>”) is entered into and dated as of the 26</w:t>
      </w:r>
      <w:r>
        <w:rPr>
          <w:sz w:val="20"/>
          <w:vertAlign w:val="superscript"/>
        </w:rPr>
        <w:t>th</w:t>
      </w:r>
      <w:r>
        <w:rPr>
          <w:sz w:val="20"/>
        </w:rPr>
        <w:t xml:space="preserve"> day of October, 2001 (the “</w:t>
      </w:r>
      <w:r>
        <w:rPr>
          <w:b/>
          <w:i/>
          <w:sz w:val="20"/>
        </w:rPr>
        <w:t>Effective Date</w:t>
      </w:r>
      <w:r>
        <w:rPr>
          <w:sz w:val="20"/>
        </w:rPr>
        <w:t xml:space="preserve">”) and is by and between BP Corporation North America Inc., BP Energy Company, Vastar Resources, Inc. (by and through its agent BP Energy Company), BP Canada Energy Company, BP Canada Energy Marketing Corp., Cibola Energy Services Corporation, IGI Resources, Inc., BP Oil Supply Company, BP Products North America Inc., BP North American Petroleum (a division of BP Products North America Inc.), </w:t>
      </w:r>
      <w:r>
        <w:rPr>
          <w:b/>
          <w:sz w:val="20"/>
          <w:u w:val="double"/>
        </w:rPr>
        <w:t>BP Amoco Chemical Company, Atlantic Richfield Company,</w:t>
      </w:r>
      <w:r>
        <w:rPr>
          <w:sz w:val="20"/>
        </w:rPr>
        <w:t xml:space="preserve"> and </w:t>
      </w:r>
      <w:r>
        <w:rPr>
          <w:strike/>
          <w:sz w:val="20"/>
        </w:rPr>
        <w:t>[</w:t>
      </w:r>
      <w:r>
        <w:rPr>
          <w:sz w:val="20"/>
        </w:rPr>
        <w:t xml:space="preserve">Amoco Production Company </w:t>
      </w:r>
      <w:r>
        <w:rPr>
          <w:strike/>
          <w:sz w:val="20"/>
        </w:rPr>
        <w:t>(STILL CHECKING)]</w:t>
      </w:r>
      <w:r>
        <w:rPr>
          <w:sz w:val="20"/>
        </w:rPr>
        <w:t>(each individually referred to herein as a “</w:t>
      </w:r>
      <w:r>
        <w:rPr>
          <w:b/>
          <w:i/>
          <w:sz w:val="20"/>
        </w:rPr>
        <w:t>BP Party</w:t>
      </w:r>
      <w:r>
        <w:rPr>
          <w:sz w:val="20"/>
        </w:rPr>
        <w:t>” and collectively referred to herein as “</w:t>
      </w:r>
      <w:r>
        <w:rPr>
          <w:b/>
          <w:i/>
          <w:sz w:val="20"/>
        </w:rPr>
        <w:t>BP Group</w:t>
      </w:r>
      <w:r>
        <w:rPr>
          <w:sz w:val="20"/>
        </w:rPr>
        <w:t>”) and Enron North America Corp., Enron Power Marketing Inc., Enron Canada Corp.</w:t>
      </w:r>
      <w:r>
        <w:rPr>
          <w:strike/>
          <w:sz w:val="20"/>
        </w:rPr>
        <w:t>, Enron Capital and Trade Resources Canada Corp.</w:t>
      </w:r>
      <w:r>
        <w:rPr>
          <w:sz w:val="20"/>
        </w:rPr>
        <w:t>, Enron Energy Services, Inc.</w:t>
      </w:r>
      <w:r>
        <w:rPr>
          <w:strike/>
          <w:sz w:val="20"/>
        </w:rPr>
        <w:t>, Enron Gas Processing Company, Enron Gas Marketing Canada Inc., Enron Gas Services Canada Corp., Enron Oil Canada Ltd., Enron Oil Corporation</w:t>
      </w:r>
      <w:r>
        <w:rPr>
          <w:sz w:val="20"/>
        </w:rPr>
        <w:t xml:space="preserve">, Enron Reserve Acquisition Corp., Enron Petrochemicals Company (a division of Enron Liquid Fuels, Inc.), </w:t>
      </w:r>
      <w:r>
        <w:rPr>
          <w:strike/>
          <w:sz w:val="20"/>
        </w:rPr>
        <w:t>Enron Risk Management Services Corporation, Enron Gas Marketing, Inc.,</w:t>
      </w:r>
      <w:r>
        <w:rPr>
          <w:sz w:val="20"/>
        </w:rPr>
        <w:t xml:space="preserve"> ENA Upstream Company, LLC, </w:t>
      </w:r>
      <w:r>
        <w:rPr>
          <w:b/>
          <w:sz w:val="20"/>
          <w:u w:val="double"/>
        </w:rPr>
        <w:t>[Enron Marketing Services Inc.], [Enron Oil Trading &amp; Transportation],</w:t>
      </w:r>
      <w:r>
        <w:rPr>
          <w:sz w:val="20"/>
        </w:rPr>
        <w:t xml:space="preserve"> and Enron Liquid Fuels, Inc. (each individually referred to herein as an “</w:t>
      </w:r>
      <w:r>
        <w:rPr>
          <w:b/>
          <w:i/>
          <w:sz w:val="20"/>
        </w:rPr>
        <w:t>Enron Party</w:t>
      </w:r>
      <w:r>
        <w:rPr>
          <w:sz w:val="20"/>
        </w:rPr>
        <w:t>” and collectively referred to herein as “</w:t>
      </w:r>
      <w:r>
        <w:rPr>
          <w:b/>
          <w:i/>
          <w:sz w:val="20"/>
        </w:rPr>
        <w:t>Enron Group</w:t>
      </w:r>
      <w:r>
        <w:rPr>
          <w:sz w:val="20"/>
        </w:rPr>
        <w:t>”) (each of the BP Parties and each of the Enron Parties are respectively referred to herein as a “</w:t>
      </w:r>
      <w:r>
        <w:rPr>
          <w:b/>
          <w:i/>
          <w:sz w:val="20"/>
        </w:rPr>
        <w:t>party</w:t>
      </w:r>
      <w:r>
        <w:rPr>
          <w:sz w:val="20"/>
        </w:rPr>
        <w:t>” and collectively as “</w:t>
      </w:r>
      <w:r>
        <w:rPr>
          <w:b/>
          <w:i/>
          <w:sz w:val="20"/>
        </w:rPr>
        <w:t>parties</w:t>
      </w:r>
      <w:r>
        <w:rPr>
          <w:sz w:val="20"/>
        </w:rPr>
        <w:t xml:space="preserve">”).  </w:t>
      </w:r>
    </w:p>
    <w:p>
      <w:pPr>
        <w:pStyle w:val="Normal"/>
        <w:bidi w:val="0"/>
        <w:ind w:hanging="0" w:start="0" w:end="0"/>
        <w:jc w:val="both"/>
        <w:rPr>
          <w:sz w:val="20"/>
        </w:rPr>
      </w:pPr>
      <w:r>
        <w:rPr>
          <w:sz w:val="20"/>
        </w:rPr>
      </w:r>
    </w:p>
    <w:p>
      <w:pPr>
        <w:pStyle w:val="Normal"/>
        <w:bidi w:val="0"/>
        <w:ind w:hanging="0" w:start="0" w:end="0"/>
        <w:jc w:val="both"/>
        <w:rPr>
          <w:sz w:val="20"/>
        </w:rPr>
      </w:pPr>
      <w:r>
        <w:rPr>
          <w:sz w:val="20"/>
        </w:rPr>
        <w:t xml:space="preserve">BP Parties and Enron Parties have entered and/or anticipate entering into one or more master agreements and/or trading agreements </w:t>
      </w:r>
      <w:r>
        <w:rPr>
          <w:b/>
          <w:sz w:val="20"/>
          <w:u w:val="double"/>
        </w:rPr>
        <w:t>in the nature of “forward contracts” and “swap agreements” as defined in the Code</w:t>
      </w:r>
      <w:r>
        <w:rPr>
          <w:sz w:val="20"/>
        </w:rPr>
        <w:t xml:space="preserve"> (each an “</w:t>
      </w:r>
      <w:r>
        <w:rPr>
          <w:b/>
          <w:i/>
          <w:sz w:val="20"/>
        </w:rPr>
        <w:t>Underlying Master Agreement</w:t>
      </w:r>
      <w:r>
        <w:rPr>
          <w:sz w:val="20"/>
        </w:rPr>
        <w:t>”) for the purchase, sale, and/or exchange of physical commodities (including, without limitation, natural gas, crude oil, fuel oil, gasoline,</w:t>
      </w:r>
      <w:r>
        <w:rPr>
          <w:b/>
          <w:sz w:val="20"/>
          <w:u w:val="double"/>
        </w:rPr>
        <w:t xml:space="preserve"> petroleum-related products,</w:t>
      </w:r>
      <w:r>
        <w:rPr>
          <w:sz w:val="20"/>
        </w:rPr>
        <w:t xml:space="preserve"> electric power, electric capacity, and natural gas liquids), transportation rights, transportation capacity, goods (as such term is defined in the Uniform Commercial Code), swaps, options, derivatives, or any other security, right, contract right, instrument or item (whether similar or dissimilar to the foregoing) that is currently bought, sold, and/or exchanged or capable of being bought, sold, and/or exchanged in the future (each a “</w:t>
      </w:r>
      <w:r>
        <w:rPr>
          <w:b/>
          <w:i/>
          <w:sz w:val="20"/>
        </w:rPr>
        <w:t>Transaction</w:t>
      </w:r>
      <w:r>
        <w:rPr>
          <w:sz w:val="20"/>
        </w:rPr>
        <w:t>”) that are or will be governed by this NA Master Agreement and the documents and other confirming evidence (each a “</w:t>
      </w:r>
      <w:r>
        <w:rPr>
          <w:b/>
          <w:i/>
          <w:sz w:val="20"/>
        </w:rPr>
        <w:t>Confirmation</w:t>
      </w:r>
      <w:r>
        <w:rPr>
          <w:sz w:val="20"/>
        </w:rPr>
        <w:t>”) exchanged between the parties confirming those Transactions.</w:t>
      </w:r>
    </w:p>
    <w:p>
      <w:pPr>
        <w:pStyle w:val="Normal"/>
        <w:bidi w:val="0"/>
        <w:ind w:hanging="0" w:start="0" w:end="0"/>
        <w:jc w:val="both"/>
        <w:rPr>
          <w:sz w:val="20"/>
        </w:rPr>
      </w:pPr>
      <w:r>
        <w:rPr>
          <w:sz w:val="20"/>
        </w:rPr>
      </w:r>
    </w:p>
    <w:p>
      <w:pPr>
        <w:pStyle w:val="BodyText2"/>
        <w:bidi w:val="0"/>
        <w:ind w:hanging="0" w:start="0" w:end="0"/>
        <w:rPr>
          <w:rFonts w:ascii="Times New Roman" w:hAnsi="Times New Roman"/>
        </w:rPr>
      </w:pPr>
      <w:r>
        <w:rPr/>
        <w:t>Accordingly, (i) in order to amend and clarify the parties’ rights and obligations with respect to the Underlying Master Agreements, and (ii) for other good and valuable consideration, the receipt and sufficiency of which are hereby acknowledged, the parties agree as follows:</w:t>
      </w:r>
    </w:p>
    <w:p>
      <w:pPr>
        <w:pStyle w:val="Normal"/>
        <w:bidi w:val="0"/>
        <w:ind w:hanging="0" w:start="0" w:end="0"/>
        <w:jc w:val="both"/>
        <w:rPr>
          <w:sz w:val="20"/>
        </w:rPr>
      </w:pPr>
      <w:r>
        <w:rPr>
          <w:sz w:val="20"/>
        </w:rPr>
      </w:r>
    </w:p>
    <w:p>
      <w:pPr>
        <w:pStyle w:val="Heading1"/>
        <w:numPr>
          <w:ilvl w:val="0"/>
          <w:numId w:val="0"/>
        </w:numPr>
        <w:bidi w:val="0"/>
        <w:ind w:hanging="0" w:start="0"/>
        <w:jc w:val="start"/>
        <w:outlineLvl w:val="0"/>
        <w:rPr>
          <w:rFonts w:ascii="Times New Roman" w:hAnsi="Times New Roman"/>
          <w:sz w:val="20"/>
        </w:rPr>
      </w:pPr>
      <w:r>
        <w:rPr>
          <w:sz w:val="20"/>
        </w:rPr>
        <w:t>1.</w:t>
        <w:tab/>
        <w:t>Interpretation</w:t>
      </w:r>
    </w:p>
    <w:p>
      <w:pPr>
        <w:pStyle w:val="BodyText"/>
        <w:bidi w:val="0"/>
        <w:rPr>
          <w:rFonts w:ascii="Times New Roman" w:hAnsi="Times New Roman"/>
          <w:b/>
          <w:sz w:val="20"/>
        </w:rPr>
      </w:pPr>
      <w:r>
        <w:rPr>
          <w:b/>
          <w:sz w:val="20"/>
        </w:rPr>
      </w:r>
    </w:p>
    <w:p>
      <w:pPr>
        <w:pStyle w:val="BodyText"/>
        <w:bidi w:val="0"/>
        <w:ind w:hanging="720" w:start="1440" w:end="0"/>
        <w:rPr>
          <w:rFonts w:ascii="Times New Roman" w:hAnsi="Times New Roman"/>
          <w:sz w:val="20"/>
        </w:rPr>
      </w:pPr>
      <w:r>
        <w:rPr>
          <w:sz w:val="20"/>
        </w:rPr>
        <w:t>(a)</w:t>
        <w:tab/>
      </w:r>
      <w:r>
        <w:rPr>
          <w:i/>
          <w:sz w:val="20"/>
        </w:rPr>
        <w:t>Definitions</w:t>
      </w:r>
      <w:r>
        <w:rPr>
          <w:sz w:val="20"/>
        </w:rPr>
        <w:t xml:space="preserve">.  The terms defined in Section </w:t>
      </w:r>
      <w:r>
        <w:rPr>
          <w:strike/>
          <w:sz w:val="20"/>
        </w:rPr>
        <w:t>12</w:t>
      </w:r>
      <w:r>
        <w:rPr>
          <w:sz w:val="20"/>
        </w:rPr>
        <w:t xml:space="preserve"> </w:t>
      </w:r>
      <w:r>
        <w:rPr>
          <w:b/>
          <w:sz w:val="20"/>
          <w:u w:val="double"/>
        </w:rPr>
        <w:t>13</w:t>
      </w:r>
      <w:r>
        <w:rPr>
          <w:sz w:val="20"/>
        </w:rPr>
        <w:t xml:space="preserve"> will have the meanings specified therein for the purpose of this NA Master Agreement.</w:t>
      </w:r>
    </w:p>
    <w:p>
      <w:pPr>
        <w:pStyle w:val="Normal"/>
        <w:numPr>
          <w:ilvl w:val="0"/>
          <w:numId w:val="0"/>
        </w:numPr>
        <w:bidi w:val="0"/>
        <w:ind w:hanging="0" w:start="0" w:end="0"/>
        <w:jc w:val="both"/>
        <w:outlineLvl w:val="0"/>
        <w:rPr>
          <w:sz w:val="20"/>
        </w:rPr>
      </w:pPr>
      <w:r>
        <w:rPr>
          <w:sz w:val="20"/>
        </w:rPr>
      </w:r>
    </w:p>
    <w:p>
      <w:pPr>
        <w:pStyle w:val="Normal"/>
        <w:numPr>
          <w:ilvl w:val="0"/>
          <w:numId w:val="0"/>
        </w:numPr>
        <w:bidi w:val="0"/>
        <w:ind w:hanging="720" w:start="1440" w:end="0"/>
        <w:jc w:val="both"/>
        <w:outlineLvl w:val="0"/>
        <w:rPr>
          <w:sz w:val="20"/>
        </w:rPr>
      </w:pPr>
      <w:r>
        <w:rPr>
          <w:sz w:val="20"/>
        </w:rPr>
        <w:t>(b)</w:t>
        <w:tab/>
      </w:r>
      <w:r>
        <w:rPr>
          <w:i/>
          <w:sz w:val="20"/>
        </w:rPr>
        <w:t>Single Agreement</w:t>
      </w:r>
      <w:r>
        <w:rPr>
          <w:sz w:val="20"/>
        </w:rPr>
        <w:t>.  All Underlying Master Agreements, all Transactions, and all Confirmations related thereto, together with this NA Master Agreement, form a single agreement between the parties (collectively referred to as this “</w:t>
      </w:r>
      <w:r>
        <w:rPr>
          <w:b/>
          <w:i/>
          <w:sz w:val="20"/>
        </w:rPr>
        <w:t>Agreement</w:t>
      </w:r>
      <w:r>
        <w:rPr>
          <w:sz w:val="20"/>
        </w:rPr>
        <w:t xml:space="preserve">”).  Unless and until this </w:t>
      </w:r>
      <w:r>
        <w:rPr>
          <w:b/>
          <w:sz w:val="20"/>
          <w:u w:val="double"/>
        </w:rPr>
        <w:t>NA Master</w:t>
      </w:r>
      <w:r>
        <w:rPr>
          <w:sz w:val="20"/>
        </w:rPr>
        <w:t xml:space="preserve"> Agreement is terminated according to the terms hereof, (i) all subsequent Transactions and all Confirmations related thereto, entered into by one or more BP Party, and one or more Enron Party, under an Underlying Master Agreement are entered into in reliance on the fact that all Underlying Master Agreements, all Transactions and all Confirmations related thereto</w:t>
      </w:r>
      <w:r>
        <w:rPr>
          <w:b/>
          <w:sz w:val="20"/>
          <w:u w:val="double"/>
        </w:rPr>
        <w:t>, together with this NA Master Agreement,</w:t>
      </w:r>
      <w:r>
        <w:rPr>
          <w:sz w:val="20"/>
        </w:rPr>
        <w:t xml:space="preserve"> form a single agreement, and (ii) all of the Underlying Master Agreements, all Transactions, and all Confirmations related thereto entered into between one or more BP Party and one or more Enron Party prior to, on or after the Effective Date are subject to the terms hereof, incorporated herein by reference, and form a part of this Agreement.  For the purpose of clarity, the Underlying Master Agreements, include, without limitation, the agreements described on Exhibit A attached hereto and incorporated herein by reference.</w:t>
      </w:r>
    </w:p>
    <w:p>
      <w:pPr>
        <w:pStyle w:val="Normal"/>
        <w:numPr>
          <w:ilvl w:val="0"/>
          <w:numId w:val="0"/>
        </w:numPr>
        <w:bidi w:val="0"/>
        <w:ind w:hanging="0" w:start="0" w:end="0"/>
        <w:jc w:val="both"/>
        <w:outlineLvl w:val="0"/>
        <w:rPr>
          <w:sz w:val="20"/>
        </w:rPr>
      </w:pPr>
      <w:r>
        <w:rPr>
          <w:sz w:val="20"/>
        </w:rPr>
      </w:r>
    </w:p>
    <w:p>
      <w:pPr>
        <w:pStyle w:val="Normal"/>
        <w:numPr>
          <w:ilvl w:val="0"/>
          <w:numId w:val="0"/>
        </w:numPr>
        <w:bidi w:val="0"/>
        <w:ind w:hanging="720" w:start="1440" w:end="0"/>
        <w:jc w:val="both"/>
        <w:outlineLvl w:val="0"/>
        <w:rPr>
          <w:sz w:val="20"/>
        </w:rPr>
      </w:pPr>
      <w:r>
        <w:rPr>
          <w:sz w:val="20"/>
        </w:rPr>
        <w:t>(c)</w:t>
        <w:tab/>
      </w:r>
      <w:r>
        <w:rPr>
          <w:i/>
          <w:sz w:val="20"/>
        </w:rPr>
        <w:t>Inconsistency</w:t>
      </w:r>
      <w:r>
        <w:rPr>
          <w:sz w:val="20"/>
        </w:rPr>
        <w:t xml:space="preserve">.  In the event of any </w:t>
      </w:r>
      <w:r>
        <w:rPr>
          <w:b/>
          <w:sz w:val="20"/>
          <w:u w:val="double"/>
        </w:rPr>
        <w:t>conflict or</w:t>
      </w:r>
      <w:r>
        <w:rPr>
          <w:sz w:val="20"/>
        </w:rPr>
        <w:t xml:space="preserve"> inconsistency between the provisions of any Underlying Master Agreement and any Transaction (including any Confirmation related thereto) and this NA Master Agreement, this NA Master Agreement will control to the extent of any such conflict.  The provisions of each Underlying Master Agreement and any Transaction (including any Confirmation related thereto) shall only apply to the Transactions entered into in accordance with such Underlying Master Agreement, and no provision of an Underlying Master Agreement and any Transaction (including any Confirmation related thereto) shall cross-apply or affect a Transaction entered into in accordance with a separate Underlying Master Agreement. </w:t>
      </w:r>
    </w:p>
    <w:p>
      <w:pPr>
        <w:pStyle w:val="Heading1"/>
        <w:numPr>
          <w:ilvl w:val="0"/>
          <w:numId w:val="0"/>
        </w:numPr>
        <w:bidi w:val="0"/>
        <w:ind w:hanging="0" w:start="0"/>
        <w:jc w:val="start"/>
        <w:outlineLvl w:val="0"/>
        <w:rPr>
          <w:rFonts w:ascii="Times New Roman" w:hAnsi="Times New Roman"/>
          <w:sz w:val="20"/>
        </w:rPr>
      </w:pPr>
      <w:r>
        <w:rPr>
          <w:kern w:val="0"/>
          <w:sz w:val="20"/>
        </w:rPr>
        <w:t>2.</w:t>
        <w:tab/>
      </w:r>
      <w:r>
        <w:rPr>
          <w:sz w:val="20"/>
        </w:rPr>
        <w:t xml:space="preserve">Term of this </w:t>
      </w:r>
      <w:r>
        <w:rPr>
          <w:sz w:val="20"/>
          <w:u w:val="double"/>
        </w:rPr>
        <w:t>NA Master</w:t>
      </w:r>
      <w:r>
        <w:rPr>
          <w:sz w:val="20"/>
        </w:rPr>
        <w:t xml:space="preserve"> Agreement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outlineLvl w:val="0"/>
        <w:rPr>
          <w:rFonts w:ascii="Times New Roman" w:hAnsi="Times New Roman"/>
          <w:sz w:val="20"/>
        </w:rPr>
      </w:pPr>
      <w:r>
        <w:rPr>
          <w:sz w:val="20"/>
        </w:rPr>
        <w:t xml:space="preserve">This NA Master Agreement shall be effective as of the Effective Date and continue in effect until terminated by agreement of the parties; provided, notwithstanding the foregoing, any party shall have the right to terminate this NA Master Agreement by notice to the </w:t>
      </w:r>
      <w:r>
        <w:rPr>
          <w:strike/>
          <w:sz w:val="20"/>
        </w:rPr>
        <w:t>other parties</w:t>
      </w:r>
      <w:r>
        <w:rPr>
          <w:sz w:val="20"/>
        </w:rPr>
        <w:t xml:space="preserve"> </w:t>
      </w:r>
      <w:r>
        <w:rPr>
          <w:b/>
          <w:sz w:val="20"/>
          <w:u w:val="double"/>
        </w:rPr>
        <w:t>Other Party</w:t>
      </w:r>
      <w:r>
        <w:rPr>
          <w:sz w:val="20"/>
        </w:rPr>
        <w:t xml:space="preserve"> upon such time as there are fewer than two Underlying Master Agreements in effect.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b/>
          <w:sz w:val="20"/>
        </w:rPr>
      </w:pPr>
      <w:r>
        <w:rPr>
          <w:b/>
          <w:sz w:val="20"/>
        </w:rPr>
        <w:t>3.</w:t>
        <w:tab/>
        <w:t>Representations.</w:t>
      </w:r>
    </w:p>
    <w:p>
      <w:pPr>
        <w:pStyle w:val="BodyText2"/>
        <w:numPr>
          <w:ilvl w:val="0"/>
          <w:numId w:val="0"/>
        </w:numPr>
        <w:bidi w:val="0"/>
        <w:ind w:hanging="0" w:start="0" w:end="0"/>
        <w:outlineLvl w:val="0"/>
        <w:rPr>
          <w:rFonts w:ascii="Times New Roman" w:hAnsi="Times New Roman"/>
          <w:sz w:val="20"/>
        </w:rPr>
      </w:pPr>
      <w:r>
        <w:rPr>
          <w:sz w:val="20"/>
        </w:rPr>
      </w:r>
    </w:p>
    <w:p>
      <w:pPr>
        <w:pStyle w:val="Normal"/>
        <w:numPr>
          <w:ilvl w:val="0"/>
          <w:numId w:val="0"/>
        </w:numPr>
        <w:bidi w:val="0"/>
        <w:ind w:hanging="0" w:start="720" w:end="0"/>
        <w:jc w:val="both"/>
        <w:outlineLvl w:val="0"/>
        <w:rPr>
          <w:sz w:val="20"/>
        </w:rPr>
      </w:pPr>
      <w:r>
        <w:rPr>
          <w:sz w:val="20"/>
        </w:rPr>
        <w:t>Each BP Party represents to each Enron Party, and each Enron Party represents to each BP Party</w:t>
      </w:r>
      <w:r>
        <w:rPr>
          <w:b/>
          <w:sz w:val="20"/>
          <w:u w:val="double"/>
        </w:rPr>
        <w:t>,</w:t>
      </w:r>
      <w:r>
        <w:rPr>
          <w:sz w:val="20"/>
        </w:rPr>
        <w:t xml:space="preserve"> that:</w:t>
      </w:r>
    </w:p>
    <w:p>
      <w:pPr>
        <w:pStyle w:val="Normal"/>
        <w:keepNext w:val="true"/>
        <w:numPr>
          <w:ilvl w:val="0"/>
          <w:numId w:val="0"/>
        </w:numPr>
        <w:bidi w:val="0"/>
        <w:ind w:hanging="0" w:start="0" w:end="0"/>
        <w:jc w:val="both"/>
        <w:outlineLvl w:val="0"/>
        <w:rPr>
          <w:sz w:val="20"/>
        </w:rPr>
      </w:pPr>
      <w:r>
        <w:rPr>
          <w:sz w:val="20"/>
        </w:rPr>
      </w:r>
    </w:p>
    <w:p>
      <w:pPr>
        <w:pStyle w:val="Normal"/>
        <w:keepNext w:val="true"/>
        <w:numPr>
          <w:ilvl w:val="0"/>
          <w:numId w:val="0"/>
        </w:numPr>
        <w:bidi w:val="0"/>
        <w:ind w:firstLine="720" w:start="0" w:end="0"/>
        <w:jc w:val="both"/>
        <w:outlineLvl w:val="0"/>
        <w:rPr>
          <w:sz w:val="20"/>
        </w:rPr>
      </w:pPr>
      <w:r>
        <w:rPr>
          <w:sz w:val="20"/>
        </w:rPr>
        <w:t>(a)</w:t>
        <w:tab/>
      </w:r>
      <w:r>
        <w:rPr>
          <w:i/>
          <w:sz w:val="20"/>
        </w:rPr>
        <w:t>Basic Representations</w:t>
      </w:r>
      <w:r>
        <w:rPr>
          <w:sz w:val="20"/>
        </w:rPr>
        <w:t>.</w:t>
      </w:r>
    </w:p>
    <w:p>
      <w:pPr>
        <w:pStyle w:val="Normal"/>
        <w:keepNext w:val="true"/>
        <w:numPr>
          <w:ilvl w:val="0"/>
          <w:numId w:val="0"/>
        </w:numPr>
        <w:bidi w:val="0"/>
        <w:ind w:hanging="0" w:start="0" w:end="0"/>
        <w:jc w:val="both"/>
        <w:outlineLvl w:val="0"/>
        <w:rPr>
          <w:sz w:val="20"/>
        </w:rPr>
      </w:pPr>
      <w:r>
        <w:rPr>
          <w:sz w:val="20"/>
        </w:rPr>
      </w:r>
    </w:p>
    <w:p>
      <w:pPr>
        <w:pStyle w:val="Normal"/>
        <w:keepNext w:val="true"/>
        <w:numPr>
          <w:ilvl w:val="0"/>
          <w:numId w:val="0"/>
        </w:numPr>
        <w:bidi w:val="0"/>
        <w:ind w:hanging="720" w:start="2160" w:end="0"/>
        <w:jc w:val="both"/>
        <w:outlineLvl w:val="0"/>
        <w:rPr>
          <w:sz w:val="20"/>
        </w:rPr>
      </w:pPr>
      <w:r>
        <w:rPr>
          <w:sz w:val="20"/>
        </w:rPr>
        <w:t>(i)</w:t>
        <w:tab/>
      </w:r>
      <w:r>
        <w:rPr>
          <w:sz w:val="20"/>
          <w:u w:val="single"/>
        </w:rPr>
        <w:t>Status</w:t>
      </w:r>
      <w:r>
        <w:rPr>
          <w:sz w:val="20"/>
        </w:rPr>
        <w:t>.  It is duly organized and validly existing under the laws of the jurisdiction of its organization or incorporation and, if relevant under such laws, in good standing;</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(ii)</w:t>
        <w:tab/>
      </w:r>
      <w:r>
        <w:rPr>
          <w:sz w:val="20"/>
          <w:u w:val="single"/>
        </w:rPr>
        <w:t>Powers</w:t>
      </w:r>
      <w:r>
        <w:rPr>
          <w:sz w:val="20"/>
        </w:rPr>
        <w:t xml:space="preserve">.  It (1) has the power to execute and deliver this NA Master Agreement and any other documentation relating to this NA Master Agreement to which it is a party, (2) </w:t>
      </w:r>
      <w:r>
        <w:rPr>
          <w:b/>
          <w:sz w:val="20"/>
          <w:u w:val="double"/>
        </w:rPr>
        <w:t>has the power</w:t>
      </w:r>
      <w:r>
        <w:rPr>
          <w:sz w:val="20"/>
        </w:rPr>
        <w:t xml:space="preserve"> to deliver this NA Master Agreement and any other documentation relating to this NA Master Agreement that it is required by this NA Master Agreement to deliver, (3) </w:t>
      </w:r>
      <w:r>
        <w:rPr>
          <w:b/>
          <w:sz w:val="20"/>
          <w:u w:val="double"/>
        </w:rPr>
        <w:t>has the power</w:t>
      </w:r>
      <w:r>
        <w:rPr>
          <w:sz w:val="20"/>
        </w:rPr>
        <w:t xml:space="preserve"> to perform its obligations under this NA Master Agreement, and </w:t>
      </w:r>
      <w:r>
        <w:rPr>
          <w:strike/>
          <w:sz w:val="20"/>
        </w:rPr>
        <w:t>(4)</w:t>
      </w:r>
      <w:r>
        <w:rPr>
          <w:sz w:val="20"/>
        </w:rPr>
        <w:t xml:space="preserve"> has taken all necessary action to authorize such execution, delivery and performance;</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(iii)</w:t>
        <w:tab/>
      </w:r>
      <w:r>
        <w:rPr>
          <w:sz w:val="20"/>
          <w:u w:val="single"/>
        </w:rPr>
        <w:t>No Violation or Conflict</w:t>
      </w:r>
      <w:r>
        <w:rPr>
          <w:sz w:val="20"/>
        </w:rPr>
        <w:t>.  Such execution, delivery and performance do not violate or conflict with any applicable law, any provision of its constitutional documents, any order or judgment of any court or other applicable agency of government, or any of its assets or any contractual restriction binding on or affecting it or any of its assets;</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(iv)</w:t>
        <w:tab/>
      </w:r>
      <w:r>
        <w:rPr>
          <w:sz w:val="20"/>
          <w:u w:val="single"/>
        </w:rPr>
        <w:t>Consents</w:t>
      </w:r>
      <w:r>
        <w:rPr>
          <w:sz w:val="20"/>
        </w:rPr>
        <w:t xml:space="preserve">.  All governmental and other consents that are required to have been obtained by it with respect to this NA Master Agreement </w:t>
      </w:r>
      <w:r>
        <w:rPr>
          <w:strike/>
          <w:sz w:val="20"/>
        </w:rPr>
        <w:t>to which it is a party</w:t>
      </w:r>
      <w:r>
        <w:rPr>
          <w:sz w:val="20"/>
        </w:rPr>
        <w:t xml:space="preserve"> have been obtained and are in full force and effect and all conditions of any such consents have been fulfilled;</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(v)</w:t>
        <w:tab/>
      </w:r>
      <w:r>
        <w:rPr>
          <w:sz w:val="20"/>
          <w:u w:val="single"/>
        </w:rPr>
        <w:t>Obligations Binding</w:t>
      </w:r>
      <w:r>
        <w:rPr>
          <w:sz w:val="20"/>
        </w:rPr>
        <w:t xml:space="preserve">.  Its obligations under this </w:t>
      </w:r>
      <w:r>
        <w:rPr>
          <w:b/>
          <w:sz w:val="20"/>
          <w:u w:val="double"/>
        </w:rPr>
        <w:t>NA Master</w:t>
      </w:r>
      <w:r>
        <w:rPr>
          <w:sz w:val="20"/>
        </w:rPr>
        <w:t xml:space="preserve"> Agreement constitute its legal, valid and binding obligations, enforceable in accordance with their respective terms (subject to applicable bankruptcy, reorganization, insolvency, moratorium or similar laws affecting creditors’ rights generally and subject, as to enforceability, to equitable principles of general application -- regardless of whether enforcement is sought in a proceeding in equity or at law);</w:t>
      </w:r>
    </w:p>
    <w:p>
      <w:pPr>
        <w:pStyle w:val="BodyText2"/>
        <w:numPr>
          <w:ilvl w:val="0"/>
          <w:numId w:val="0"/>
        </w:numPr>
        <w:bidi w:val="0"/>
        <w:ind w:hanging="720" w:start="216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(vi)</w:t>
        <w:tab/>
      </w:r>
      <w:r>
        <w:rPr>
          <w:sz w:val="20"/>
          <w:u w:val="single"/>
        </w:rPr>
        <w:t>Master Netting Agreement</w:t>
      </w:r>
      <w:r>
        <w:rPr>
          <w:sz w:val="20"/>
        </w:rPr>
        <w:t xml:space="preserve">.  The parties intend that this NA Master Agreement constitutes and should be deemed to be a "master netting agreement" </w:t>
      </w:r>
      <w:r>
        <w:rPr>
          <w:b/>
          <w:sz w:val="20"/>
          <w:u w:val="double"/>
        </w:rPr>
        <w:t>and/or a “master agreement in respect of a master agreement”</w:t>
      </w:r>
      <w:r>
        <w:rPr>
          <w:sz w:val="20"/>
        </w:rPr>
        <w:t xml:space="preserve"> and that the parties are and should be deemed to be "master netting agreement participants" within the meaning of and as such terms are used in any law, rule, regulation, statute, or order applicable to the parties' rights herein, whether now or hereafter enacted or made applicable;</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(vii)</w:t>
        <w:tab/>
      </w:r>
      <w:r>
        <w:rPr>
          <w:sz w:val="20"/>
          <w:u w:val="single"/>
        </w:rPr>
        <w:t>Eligible Participant; Forward Contract; Swap Agreement; Qualified Financial Contract</w:t>
      </w:r>
      <w:r>
        <w:rPr>
          <w:sz w:val="20"/>
        </w:rPr>
        <w:t xml:space="preserve">.  (1) For each BP Party and Enron Party that entered into a “swap agreement” </w:t>
      </w:r>
      <w:r>
        <w:rPr>
          <w:b/>
          <w:sz w:val="20"/>
          <w:u w:val="double"/>
        </w:rPr>
        <w:t>(a “</w:t>
      </w:r>
      <w:r>
        <w:rPr>
          <w:b/>
          <w:i/>
          <w:sz w:val="20"/>
          <w:u w:val="double"/>
        </w:rPr>
        <w:t>Swap Agreement Party</w:t>
      </w:r>
      <w:r>
        <w:rPr>
          <w:b/>
          <w:sz w:val="20"/>
          <w:u w:val="double"/>
        </w:rPr>
        <w:t>”)</w:t>
      </w:r>
      <w:r>
        <w:rPr>
          <w:sz w:val="20"/>
        </w:rPr>
        <w:t xml:space="preserve"> or “eligible financial contract” </w:t>
      </w:r>
      <w:r>
        <w:rPr>
          <w:b/>
          <w:sz w:val="20"/>
          <w:u w:val="double"/>
        </w:rPr>
        <w:t>(an “</w:t>
      </w:r>
      <w:r>
        <w:rPr>
          <w:b/>
          <w:i/>
          <w:sz w:val="20"/>
          <w:u w:val="double"/>
        </w:rPr>
        <w:t>EFC Party</w:t>
      </w:r>
      <w:r>
        <w:rPr>
          <w:b/>
          <w:sz w:val="20"/>
          <w:u w:val="double"/>
        </w:rPr>
        <w:t>”)</w:t>
      </w:r>
      <w:r>
        <w:rPr>
          <w:sz w:val="20"/>
        </w:rPr>
        <w:t xml:space="preserve"> (as such terms are respectively defined in (2) immediately below) with each other, it </w:t>
      </w:r>
      <w:r>
        <w:rPr>
          <w:b/>
          <w:sz w:val="20"/>
          <w:u w:val="double"/>
        </w:rPr>
        <w:t>(to the extent it is a Swap Agreement Party)</w:t>
      </w:r>
      <w:r>
        <w:rPr>
          <w:sz w:val="20"/>
        </w:rPr>
        <w:t xml:space="preserve"> constitutes an “eligible commercial entity” as such term is defined in the Commodity Futures Modernization Act of 2000 (7 U.S.C.A. Section 1a(11) (West Supp. 2001)), and it constitutes an “eligible contract participant” as such term is defined in the Commodity Futures Modernization Act of 2000 (7 U.S.C.A. Section 1a(12) (West Supp. 2001)), and it </w:t>
      </w:r>
      <w:r>
        <w:rPr>
          <w:b/>
          <w:sz w:val="20"/>
          <w:u w:val="double"/>
        </w:rPr>
        <w:t>(to the extent it is an EFC Party)</w:t>
      </w:r>
      <w:r>
        <w:rPr>
          <w:sz w:val="20"/>
        </w:rPr>
        <w:t xml:space="preserve"> is a “Qualified Party” within the meaning of paragraph 9.1 of the Alberta Securities Commission’s Section 9.1 Order made effective as of June 1, 1999; and paragraph 1.1 of the British Columbia Securities Commission Blanket Order BOR#91-501, and (2) with respect to each BP Party or Enron </w:t>
      </w:r>
      <w:r>
        <w:rPr>
          <w:b/>
          <w:sz w:val="20"/>
          <w:u w:val="double"/>
        </w:rPr>
        <w:t>Party</w:t>
      </w:r>
      <w:r>
        <w:rPr>
          <w:sz w:val="20"/>
        </w:rPr>
        <w:t xml:space="preserve"> that is organized under the laws of a state of the United States, each Underlying Master Agreement </w:t>
      </w:r>
      <w:r>
        <w:rPr>
          <w:b/>
          <w:sz w:val="20"/>
          <w:u w:val="double"/>
        </w:rPr>
        <w:t>and each Transaction thereunder that it is a party to</w:t>
      </w:r>
      <w:r>
        <w:rPr>
          <w:sz w:val="20"/>
        </w:rPr>
        <w:t xml:space="preserve"> is either a “forward contract” within the meaning of the </w:t>
      </w:r>
      <w:r>
        <w:rPr>
          <w:strike/>
          <w:sz w:val="20"/>
        </w:rPr>
        <w:t>United States Bankruptcy</w:t>
      </w:r>
      <w:r>
        <w:rPr>
          <w:sz w:val="20"/>
        </w:rPr>
        <w:t xml:space="preserve"> Code (11 U.S.C. Section 101(25) (2000)) and/or a “swap agreement” within the meaning of Section 301 of the Commodity Futures Modernization Act of 2000 (15 U.S.C.A. Section 78c note (West Supp. 2001)) and/or a “swap agreement” within the meaning of the </w:t>
      </w:r>
      <w:r>
        <w:rPr>
          <w:strike/>
          <w:sz w:val="20"/>
        </w:rPr>
        <w:t>United States Bankruptcy</w:t>
      </w:r>
      <w:r>
        <w:rPr>
          <w:sz w:val="20"/>
        </w:rPr>
        <w:t xml:space="preserve"> Code (11 U.S.C. Section 101(53B) (2000)), and with respect to each BP Party or Enron Party that is organized under the laws of </w:t>
      </w:r>
      <w:r>
        <w:rPr>
          <w:b/>
          <w:sz w:val="20"/>
          <w:u w:val="double"/>
        </w:rPr>
        <w:t>Canada or</w:t>
      </w:r>
      <w:r>
        <w:rPr>
          <w:sz w:val="20"/>
        </w:rPr>
        <w:t xml:space="preserve"> a province of Canada, each Underlying Master Agreement </w:t>
      </w:r>
      <w:r>
        <w:rPr>
          <w:b/>
          <w:sz w:val="20"/>
          <w:u w:val="double"/>
        </w:rPr>
        <w:t>and each Transaction thereunder that it is a party to</w:t>
      </w:r>
      <w:r>
        <w:rPr>
          <w:sz w:val="20"/>
        </w:rPr>
        <w:t xml:space="preserve"> is an “eligible financial contract” as defined in both the Companies’ Creditors Arrangement Act, R.S.C. 1985, c. C-36, as amended, and the Bankruptcy and Insolvency Act, R.S.C. 1985, c. B-3.</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(b)</w:t>
        <w:tab/>
      </w:r>
      <w:r>
        <w:rPr>
          <w:i/>
          <w:sz w:val="20"/>
        </w:rPr>
        <w:t>Absence of Certain Events</w:t>
      </w:r>
      <w:r>
        <w:rPr>
          <w:sz w:val="20"/>
        </w:rPr>
        <w:t>.  No Event of Default with respect to it has occurred and is continuing and no such event or circumstance will occur as a result of its entering into or performing its obligations under this NA Master Agreement.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(c)</w:t>
        <w:tab/>
      </w:r>
      <w:r>
        <w:rPr>
          <w:i/>
          <w:sz w:val="20"/>
        </w:rPr>
        <w:t>Absence of Litigation</w:t>
      </w:r>
      <w:r>
        <w:rPr>
          <w:sz w:val="20"/>
        </w:rPr>
        <w:t>.  There is not pending, nor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NA Master Agreement or its ability to perform its obligations under this NA Master Agreement.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b/>
          <w:sz w:val="20"/>
        </w:rPr>
      </w:pPr>
      <w:r>
        <w:rPr>
          <w:b/>
          <w:sz w:val="20"/>
        </w:rPr>
        <w:t>4.</w:t>
        <w:tab/>
        <w:t>Payment Obligations.</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firstLine="720" w:start="0" w:end="0"/>
        <w:outlineLvl w:val="0"/>
        <w:rPr>
          <w:rFonts w:ascii="Times New Roman" w:hAnsi="Times New Roman"/>
          <w:sz w:val="20"/>
        </w:rPr>
      </w:pPr>
      <w:r>
        <w:rPr>
          <w:sz w:val="20"/>
        </w:rPr>
        <w:t xml:space="preserve">Each party shall make each payment or delivery as specified for such party in an Underlying Master Agreement </w:t>
      </w:r>
      <w:r>
        <w:rPr>
          <w:b/>
          <w:sz w:val="20"/>
          <w:u w:val="double"/>
        </w:rPr>
        <w:t>in accordance with such Underlying Master Agreement</w:t>
      </w:r>
      <w:r>
        <w:rPr>
          <w:sz w:val="20"/>
        </w:rPr>
        <w:t>, subject to the other provisions of this NA Master Agreement.</w:t>
      </w:r>
    </w:p>
    <w:p>
      <w:pPr>
        <w:pStyle w:val="Heading1"/>
        <w:numPr>
          <w:ilvl w:val="0"/>
          <w:numId w:val="0"/>
        </w:numPr>
        <w:bidi w:val="0"/>
        <w:ind w:hanging="0" w:start="0"/>
        <w:jc w:val="start"/>
        <w:outlineLvl w:val="0"/>
        <w:rPr>
          <w:rFonts w:ascii="Times New Roman" w:hAnsi="Times New Roman"/>
          <w:sz w:val="20"/>
        </w:rPr>
      </w:pPr>
      <w:r>
        <w:rPr>
          <w:kern w:val="0"/>
          <w:sz w:val="20"/>
        </w:rPr>
        <w:t>5.</w:t>
        <w:tab/>
      </w:r>
      <w:r>
        <w:rPr>
          <w:sz w:val="20"/>
        </w:rPr>
        <w:t>Definition of Events of Default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outlineLvl w:val="0"/>
        <w:rPr>
          <w:rFonts w:ascii="Times New Roman" w:hAnsi="Times New Roman"/>
          <w:sz w:val="20"/>
        </w:rPr>
      </w:pPr>
      <w:r>
        <w:rPr>
          <w:sz w:val="20"/>
        </w:rPr>
        <w:t>The occurrence at any time with respect to any BP Party or any Enron Party, as applicable, of any of the following events constitutes an event of default (an “</w:t>
      </w:r>
      <w:r>
        <w:rPr>
          <w:b/>
          <w:i/>
          <w:sz w:val="20"/>
        </w:rPr>
        <w:t>Event of Default</w:t>
      </w:r>
      <w:r>
        <w:rPr>
          <w:sz w:val="20"/>
        </w:rPr>
        <w:t>”) with respect to the BP Group (if the Event of Default relates to a BP Party) or the Enron Group (if the Event of Default relates to an Enron Party), as applicable:</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(a)</w:t>
        <w:tab/>
      </w:r>
      <w:r>
        <w:rPr>
          <w:i/>
          <w:sz w:val="20"/>
        </w:rPr>
        <w:t>Misrepresentation</w:t>
      </w:r>
      <w:r>
        <w:rPr>
          <w:sz w:val="20"/>
        </w:rPr>
        <w:t xml:space="preserve">.  A representation </w:t>
      </w:r>
      <w:r>
        <w:rPr>
          <w:strike/>
          <w:sz w:val="20"/>
        </w:rPr>
        <w:t>made or repeated or deemed to have been made or repeated</w:t>
      </w:r>
      <w:r>
        <w:rPr>
          <w:sz w:val="20"/>
        </w:rPr>
        <w:t xml:space="preserve"> by a BP Party or Enron Party, as applicable, in this </w:t>
      </w:r>
      <w:r>
        <w:rPr>
          <w:b/>
          <w:sz w:val="20"/>
          <w:u w:val="double"/>
        </w:rPr>
        <w:t>NA Master</w:t>
      </w:r>
      <w:r>
        <w:rPr>
          <w:sz w:val="20"/>
        </w:rPr>
        <w:t xml:space="preserve"> Agreement is incorrect or misleading in any material respect when made </w:t>
      </w:r>
      <w:r>
        <w:rPr>
          <w:strike/>
          <w:sz w:val="20"/>
        </w:rPr>
        <w:t>or repeated or deemed to have been made or repeated</w:t>
      </w:r>
      <w:r>
        <w:rPr>
          <w:sz w:val="20"/>
        </w:rPr>
        <w: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(b)</w:t>
        <w:tab/>
      </w:r>
      <w:r>
        <w:rPr>
          <w:i/>
          <w:sz w:val="20"/>
        </w:rPr>
        <w:t>Breach of Covenant</w:t>
      </w:r>
      <w:r>
        <w:rPr>
          <w:sz w:val="20"/>
        </w:rPr>
        <w:t xml:space="preserve">.  A BP Party or Enron Party, as applicable, fails to pay on the date due the Aggregate Termination Payment or breaches or fails to perform any </w:t>
      </w:r>
      <w:r>
        <w:rPr>
          <w:strike/>
          <w:sz w:val="20"/>
        </w:rPr>
        <w:t>other</w:t>
      </w:r>
      <w:r>
        <w:rPr>
          <w:sz w:val="20"/>
        </w:rPr>
        <w:t xml:space="preserve"> covenant or obligation of this NA Master Agreement and such breach or failure continues for more than ten (10) Business Days after receipt of written notice describing such breach or failure; provided, however, there shall be no applicable grace period or written notice required if a party fails to pay on the date due the Aggregate Termination Payment; and</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(c)</w:t>
        <w:tab/>
      </w:r>
      <w:r>
        <w:rPr>
          <w:i/>
          <w:sz w:val="20"/>
        </w:rPr>
        <w:t>Bankruptcy</w:t>
      </w:r>
      <w:r>
        <w:rPr>
          <w:sz w:val="20"/>
        </w:rPr>
        <w:t xml:space="preserve">.  Enron Corp., BP America Inc., a BP Party, </w:t>
      </w:r>
      <w:r>
        <w:rPr>
          <w:strike/>
          <w:sz w:val="20"/>
        </w:rPr>
        <w:t xml:space="preserve">or an </w:t>
      </w:r>
      <w:r>
        <w:rPr>
          <w:b/>
          <w:sz w:val="20"/>
          <w:u w:val="double"/>
        </w:rPr>
        <w:t>an Enron Party, or any guarantor of a BP Party or</w:t>
      </w:r>
      <w:r>
        <w:rPr>
          <w:sz w:val="20"/>
        </w:rPr>
        <w:t xml:space="preserve"> Enron Party, as applicable: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(v) passes a resolution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of its assets; (vii) has a secured party take possession of all or substantially all of its assets or has a distress, execution, attachment, sequestration, or other legal process levied, enforced, or sued on or against all or substantially all of its assets; (viii) causes or is subject to any event with respect to it which, under the applicable laws of any jurisdiction, has an analogous effect to any of the events specified in clauses (i) through (vii) (inclusive); or (ix) takes any action in furtherance of, or indicating its consent to, approval of, or acquiescence in, any of the foregoing acts.</w:t>
      </w:r>
    </w:p>
    <w:p>
      <w:pPr>
        <w:pStyle w:val="BodyText2"/>
        <w:numPr>
          <w:ilvl w:val="0"/>
          <w:numId w:val="0"/>
        </w:numPr>
        <w:bidi w:val="0"/>
        <w:ind w:hanging="0" w:start="0"/>
        <w:outlineLvl w:val="0"/>
        <w:rPr>
          <w:rFonts w:ascii="Times New Roman" w:hAnsi="Times New Roman"/>
          <w:sz w:val="20"/>
        </w:rPr>
      </w:pPr>
      <w:r>
        <w:rPr>
          <w:sz w:val="20"/>
        </w:rPr>
      </w:r>
    </w:p>
    <w:p>
      <w:pPr>
        <w:pStyle w:val="Normal"/>
        <w:bidi w:val="0"/>
        <w:ind w:hanging="0" w:start="0" w:end="0"/>
        <w:jc w:val="start"/>
        <w:rPr>
          <w:b/>
          <w:sz w:val="20"/>
        </w:rPr>
      </w:pPr>
      <w:r>
        <w:rPr>
          <w:b/>
          <w:sz w:val="20"/>
        </w:rPr>
        <w:t>6.</w:t>
        <w:tab/>
        <w:t>Remedies upon an Event of Default.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(a)</w:t>
        <w:tab/>
      </w:r>
      <w:r>
        <w:rPr>
          <w:i/>
          <w:sz w:val="20"/>
        </w:rPr>
        <w:t>Right to Terminate upon an Event of Default</w:t>
      </w:r>
      <w:r>
        <w:rPr>
          <w:sz w:val="20"/>
        </w:rPr>
        <w:t>.  If an Event of Default shall have occurred and shall be continuing, the Party Designate for the Non-Defaulting Party with respect to such Event of Default may, in its sole discretion, by no more than twenty (20) days written notice (such written notice describing the particular Event of Default) to the Party Designate for the Defaulting Party designate a day no earlier than the day such notice is effective as an early termination date (“</w:t>
      </w:r>
      <w:r>
        <w:rPr>
          <w:b/>
          <w:i/>
          <w:sz w:val="20"/>
        </w:rPr>
        <w:t>Early Termination Date</w:t>
      </w:r>
      <w:r>
        <w:rPr>
          <w:sz w:val="20"/>
        </w:rPr>
        <w:t>”) with respect to all Transactions and all Underlying Master Agreements then in effect under this Agreement.  During the continuance of an Event of Default for so long as the Party Designate for the Non-Defaulting Party does not designate an Early Termination Date pursuant to this Section 6(a), each party shall retain and be entitled to exercise its respective rights and obligations under each Underlying Master Agreement</w:t>
      </w:r>
      <w:r>
        <w:rPr>
          <w:b/>
          <w:sz w:val="20"/>
          <w:u w:val="double"/>
        </w:rPr>
        <w:t>, including, without limitation, the right to accelerate, terminate, liquidate, or otherwise close-out Transactions under such Underlying Master Agreement pursuant to an event of default under such Underlying Master Agreement that is not also an Event of Default pursuant to this NA Master Agreement</w:t>
      </w:r>
      <w:r>
        <w:rPr>
          <w:sz w:val="20"/>
        </w:rPr>
        <w: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(b)</w:t>
        <w:tab/>
      </w:r>
      <w:r>
        <w:rPr>
          <w:i/>
          <w:sz w:val="20"/>
        </w:rPr>
        <w:t>Effect of Designation of an Early Termination Date</w:t>
      </w:r>
      <w:r>
        <w:rPr>
          <w:sz w:val="20"/>
        </w:rPr>
        <w:t xml:space="preserve">.  Upon designation of an Early Termination Date, all payment or delivery obligations of the Non-Defaulting Party under all Transactions shall be suspended, except as provided herein.  On the Early Termination Date, </w:t>
      </w:r>
      <w:r>
        <w:rPr>
          <w:strike/>
          <w:sz w:val="20"/>
        </w:rPr>
        <w:t>all obligations under</w:t>
      </w:r>
      <w:r>
        <w:rPr>
          <w:sz w:val="20"/>
        </w:rPr>
        <w:t xml:space="preserve"> all Transactions shall be terminated.</w:t>
      </w:r>
    </w:p>
    <w:p>
      <w:pPr>
        <w:pStyle w:val="BodyText2"/>
        <w:numPr>
          <w:ilvl w:val="0"/>
          <w:numId w:val="0"/>
        </w:numPr>
        <w:bidi w:val="0"/>
        <w:ind w:hanging="720" w:start="144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(c)</w:t>
        <w:tab/>
      </w:r>
      <w:r>
        <w:rPr>
          <w:i/>
          <w:sz w:val="20"/>
        </w:rPr>
        <w:t>Other Notice Provisions Superceded</w:t>
      </w:r>
      <w:r>
        <w:rPr>
          <w:sz w:val="20"/>
        </w:rPr>
        <w:t xml:space="preserve">.  </w:t>
      </w:r>
      <w:r>
        <w:rPr>
          <w:strike/>
          <w:sz w:val="20"/>
        </w:rPr>
        <w:t>Any</w:t>
      </w:r>
      <w:r>
        <w:rPr>
          <w:sz w:val="20"/>
        </w:rPr>
        <w:t xml:space="preserve"> </w:t>
      </w:r>
      <w:r>
        <w:rPr>
          <w:b/>
          <w:sz w:val="20"/>
          <w:u w:val="double"/>
        </w:rPr>
        <w:t>Solely with respect to an Event of Default pursuant to this NA Master Agreement, any</w:t>
      </w:r>
      <w:r>
        <w:rPr>
          <w:sz w:val="20"/>
        </w:rPr>
        <w:t xml:space="preserve"> and all notification requirements under the Underlying Master Agreements for accelerating, terminating, liquidating, or otherwise closing-out Transactions thereunder </w:t>
      </w:r>
      <w:r>
        <w:rPr>
          <w:b/>
          <w:sz w:val="20"/>
          <w:u w:val="double"/>
        </w:rPr>
        <w:t>that would also be triggered by an Event of Default pursuant to this NA Master Agreement</w:t>
      </w:r>
      <w:r>
        <w:rPr>
          <w:sz w:val="20"/>
        </w:rPr>
        <w:t xml:space="preserve"> shall be superceded by Section 6(a) and shall be satisfied in all respects by the notice provided for in Section 6(a) and, with particularity, any automatic termination provided for in any Underlying Master Agreement shall be inapplicable thereto.</w:t>
      </w:r>
      <w:r>
        <w:rPr>
          <w:sz w:val="22"/>
        </w:rPr>
        <w:t xml:space="preserve">  </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(d)</w:t>
        <w:tab/>
      </w:r>
      <w:r>
        <w:rPr>
          <w:i/>
          <w:sz w:val="20"/>
        </w:rPr>
        <w:t>Calculation of Termination Payment</w:t>
      </w:r>
      <w:r>
        <w:rPr>
          <w:sz w:val="20"/>
        </w:rPr>
        <w:t xml:space="preserve">.  If an Early Termination Date has been designated, the Party Designate of the Non-Defaulting Party shall in good faith calculate, pursuant to the respective Underlying Master Agreement governing any Transaction or group of Transactions, (i) the amounts payable and/or the cash equivalent of any amounts deliverable which remain unpaid or undelivered as of the Early Termination Date, and (ii) the termination and/or settlement payment amounts owed or owing on termination for such </w:t>
      </w:r>
      <w:r>
        <w:rPr>
          <w:strike/>
          <w:sz w:val="20"/>
        </w:rPr>
        <w:t>Transactions</w:t>
      </w:r>
      <w:r>
        <w:rPr>
          <w:sz w:val="20"/>
        </w:rPr>
        <w:t xml:space="preserve"> </w:t>
      </w:r>
      <w:r>
        <w:rPr>
          <w:b/>
          <w:sz w:val="20"/>
          <w:u w:val="double"/>
        </w:rPr>
        <w:t>Transaction(s)</w:t>
      </w:r>
      <w:r>
        <w:rPr>
          <w:sz w:val="20"/>
        </w:rPr>
        <w:t xml:space="preserve"> ((i) and (ii) immediately preceding collectively referred to as the “</w:t>
      </w:r>
      <w:r>
        <w:rPr>
          <w:b/>
          <w:i/>
          <w:sz w:val="20"/>
        </w:rPr>
        <w:t>Transaction Termination Amounts</w:t>
      </w:r>
      <w:r>
        <w:rPr>
          <w:sz w:val="20"/>
        </w:rPr>
        <w:t>”).  If an amount payable and/or deliverable is unascertained as of the Early Termination Date, the Party Designate of the Non-Defaulting Party may in good faith estimate the amount payable and/or the cash equivalent of any amount deliverable, subject to accounting to the Defaulting Party when such amount payable and/or the cash equivalent of any amount deliverable is ascertained.  The Party Designate of the Non-Defaulting Party shall aggregate, subject to the currency conversion provisions in Section 6(e), such Transaction Termination Amounts into a single net amount by, at its option and in its sole discretion, exercising the rights of set-off set forth in Section 7, and notify the Party Designate of the Defaulting Party in writing of the net amount owed or owing (the “</w:t>
      </w:r>
      <w:r>
        <w:rPr>
          <w:b/>
          <w:i/>
          <w:sz w:val="20"/>
        </w:rPr>
        <w:t>Aggregate</w:t>
      </w:r>
      <w:r>
        <w:rPr>
          <w:sz w:val="20"/>
        </w:rPr>
        <w:t xml:space="preserve"> </w:t>
      </w:r>
      <w:r>
        <w:rPr>
          <w:b/>
          <w:i/>
          <w:sz w:val="20"/>
        </w:rPr>
        <w:t>Termination Payment</w:t>
      </w:r>
      <w:r>
        <w:rPr>
          <w:sz w:val="20"/>
        </w:rPr>
        <w:t xml:space="preserve">”).  For greater certainty, the Aggregate Termination Payment shall be calculated by (x) adding together all of the Transaction Termination Amounts owed by a BP Party to an Enron Party, (y) </w:t>
      </w:r>
      <w:r>
        <w:rPr>
          <w:b/>
          <w:sz w:val="20"/>
          <w:u w:val="double"/>
        </w:rPr>
        <w:t>separately</w:t>
      </w:r>
      <w:r>
        <w:rPr>
          <w:sz w:val="20"/>
        </w:rPr>
        <w:t xml:space="preserve"> adding together all of the Transaction Termination Amounts owed by an Enron Party to a BP Party, and (z) the difference between (x) and (y) immediately preceding shall be the Aggregate Termination Payment.  The currency of the Aggregate Termination Payment shall be United States Dollars.  </w:t>
      </w:r>
    </w:p>
    <w:p>
      <w:pPr>
        <w:pStyle w:val="BodyText2"/>
        <w:numPr>
          <w:ilvl w:val="0"/>
          <w:numId w:val="0"/>
        </w:numPr>
        <w:bidi w:val="0"/>
        <w:ind w:hanging="720" w:start="144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(e)</w:t>
        <w:tab/>
      </w:r>
      <w:r>
        <w:rPr>
          <w:i/>
          <w:sz w:val="20"/>
        </w:rPr>
        <w:t>Currency Conversion</w:t>
      </w:r>
      <w:r>
        <w:rPr>
          <w:sz w:val="20"/>
        </w:rPr>
        <w:t xml:space="preserve">.  The Party Designate of the Non-Defaulting Party shall convert any Transaction Termination Amounts in currencies other than United States Dollars into United States Dollars at the rate of exchange at which the Party Designate of the Non-Defaulting Party </w:t>
      </w:r>
      <w:r>
        <w:rPr>
          <w:strike/>
          <w:sz w:val="20"/>
        </w:rPr>
        <w:t>so converting</w:t>
      </w:r>
      <w:r>
        <w:rPr>
          <w:sz w:val="20"/>
        </w:rPr>
        <w:t>, acting in a reasonable manner and in good faith, would be able to purchase the relevant amount of the currency being converted.</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(f)</w:t>
        <w:tab/>
      </w:r>
      <w:r>
        <w:rPr>
          <w:i/>
          <w:sz w:val="20"/>
        </w:rPr>
        <w:t>Payment of the Aggregate Termination Payment</w:t>
      </w:r>
      <w:r>
        <w:rPr>
          <w:sz w:val="20"/>
        </w:rPr>
        <w:t xml:space="preserve">.  For purposes of payment of the Aggregate Termination Payment, the Party Designate for the BP Group or Enron Group, as applicable, owing the Aggregate Termination Payment shall pay the Aggregate Termination Payment to the Party Designate for the Other Party; provided, however, the obligation to pay the Aggregate Termination Payment is the joint and several responsibility of each BP Party (if the BP Group owes such Aggregate Termination Payment) or each Enron Party (if the Enron Group owes such Aggregate Termination Payment), as applicable. </w:t>
      </w:r>
      <w:r>
        <w:rPr>
          <w:strike/>
          <w:sz w:val="20"/>
        </w:rPr>
        <w:t>The</w:t>
      </w:r>
      <w:r>
        <w:rPr>
          <w:sz w:val="20"/>
        </w:rPr>
        <w:t xml:space="preserve"> </w:t>
      </w:r>
      <w:r>
        <w:rPr>
          <w:b/>
          <w:sz w:val="20"/>
          <w:u w:val="double"/>
        </w:rPr>
        <w:t>Subject to Section 7(c), the</w:t>
      </w:r>
      <w:r>
        <w:rPr>
          <w:sz w:val="20"/>
        </w:rPr>
        <w:t xml:space="preserve"> Party Designate for the parties owing such Aggregate Termination Payment shall pay such Aggregate Termination Payment to the Other Party within five (5) Business Days of receipt of the notice given in Section 6(d), which Aggregate Termination Payment shall bear interest at the Interest Rate from the date that is five (5) Business Days after receipt of the notice given in Section 6(d) until paid. </w:t>
      </w:r>
    </w:p>
    <w:p>
      <w:pPr>
        <w:pStyle w:val="BodyText2"/>
        <w:numPr>
          <w:ilvl w:val="0"/>
          <w:numId w:val="0"/>
        </w:numPr>
        <w:bidi w:val="0"/>
        <w:ind w:hanging="720" w:start="144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(g)</w:t>
        <w:tab/>
      </w:r>
      <w:r>
        <w:rPr>
          <w:i/>
          <w:sz w:val="20"/>
        </w:rPr>
        <w:t>Full Satisfaction of Underlying Master Agreements</w:t>
      </w:r>
      <w:r>
        <w:rPr>
          <w:sz w:val="20"/>
        </w:rPr>
        <w:t>.  Payment of the Aggregate Termination Payment pursuant to Section 6(f) shall constitute satisfaction in full of the underlying obligation under each Underlying Master Agreement to pay the Transaction Termination Amounts.</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(h)</w:t>
        <w:tab/>
      </w:r>
      <w:r>
        <w:rPr>
          <w:i/>
          <w:sz w:val="20"/>
        </w:rPr>
        <w:t>Direct Damages Only</w:t>
      </w:r>
      <w:r>
        <w:rPr>
          <w:sz w:val="20"/>
        </w:rPr>
        <w:t xml:space="preserve">.  </w:t>
      </w:r>
      <w:r>
        <w:rPr>
          <w:b/>
          <w:sz w:val="20"/>
        </w:rPr>
        <w:t>NO PARTY SHALL BE REQUIRED TO PAY SPECIAL, EXEMPLARY, PUNITIVE, INCIDENTAL, CONSEQUENTIAL, LOST PROFITS, OR INDIRECT DAMAGES (WHETHER OR NOT ARISING FROM A PARTY’S OWN SOLE, JOINT, CONCURRENT, CONTRIBUTORY, OR COMPARATIVE NEGLIGENCE (WHETHER GROSS OR SIMPLE, ACTIVE OR PASSIVE)) TO THE OTHER PARTY, EXCEPT TO THE EXTENT THAT THE PAYMENTS REQUIRED TO BE MADE PURSUANT TO THIS SECTION 6 ARE DEEMED TO BE SUCH DAMAGES.  IF AND TO THE EXTENT ANY PAYMENT MADE PURSUANT TO THIS NA MASTER AGREEMENT IS DEEMED TO CONSTITUTE LIQUIDATED DAMAGES, THE PARTIES ACKNOWLEDGE AND AGREE THAT DAMAGES ARE DIFFICULT OR IMPOSSIBLE TO DETERMINE AND THAT SUCH PAYMENT CONSTITUTES A REASONABLE APPROXIMATION OF THE AMOUNT OF SUCH DAMAGES, AND IS NOT A PENALTY.  THIS SECTION 6(h) SHALL SURVIVE ANY TERMINATION OF THIS AGREEMENT.</w:t>
      </w:r>
    </w:p>
    <w:p>
      <w:pPr>
        <w:pStyle w:val="BodyText2"/>
        <w:numPr>
          <w:ilvl w:val="0"/>
          <w:numId w:val="0"/>
        </w:numPr>
        <w:bidi w:val="0"/>
        <w:ind w:hanging="0" w:start="0" w:end="0"/>
        <w:outlineLvl w:val="0"/>
        <w:rPr>
          <w:rFonts w:ascii="Times New Roman" w:hAnsi="Times New Roman"/>
          <w:b/>
          <w:sz w:val="20"/>
        </w:rPr>
      </w:pPr>
      <w:r>
        <w:rPr>
          <w:b/>
          <w:sz w:val="20"/>
        </w:rPr>
      </w:r>
    </w:p>
    <w:p>
      <w:pPr>
        <w:pStyle w:val="BodyText2"/>
        <w:numPr>
          <w:ilvl w:val="0"/>
          <w:numId w:val="0"/>
        </w:numPr>
        <w:bidi w:val="0"/>
        <w:ind w:hanging="720" w:start="1440" w:end="0"/>
        <w:outlineLvl w:val="0"/>
        <w:rPr>
          <w:rFonts w:ascii="Times New Roman" w:hAnsi="Times New Roman"/>
          <w:sz w:val="20"/>
        </w:rPr>
      </w:pPr>
      <w:r>
        <w:rPr>
          <w:sz w:val="20"/>
        </w:rPr>
        <w:t>(i)</w:t>
        <w:tab/>
      </w:r>
      <w:r>
        <w:rPr>
          <w:i/>
          <w:sz w:val="20"/>
        </w:rPr>
        <w:t>Recovery of Expenses</w:t>
      </w:r>
      <w:r>
        <w:rPr>
          <w:sz w:val="20"/>
        </w:rPr>
        <w:t>.  A Defaulting Party will, on demand, indemnify and hold harmless the Non-Defaulting Party from and against all reasonable out-of-pocket expenses, including, without limitation, reasonable attorneys’ and other legal fees and expenses, incurred by the Non-Defaulting Party by reason of the enforcement and protection of its rights under this Agreement or by reason of the early termination of any Transaction, including, but not limited to, costs of collection of the Aggregate Termination Payment or any other payment owed to the Non-Defaulting Party under this Agreement.</w:t>
      </w:r>
    </w:p>
    <w:p>
      <w:pPr>
        <w:pStyle w:val="BodyText2"/>
        <w:numPr>
          <w:ilvl w:val="0"/>
          <w:numId w:val="0"/>
        </w:numPr>
        <w:bidi w:val="0"/>
        <w:ind w:hanging="0" w:start="0" w:end="0"/>
        <w:outlineLvl w:val="0"/>
        <w:rPr>
          <w:rFonts w:ascii="Times New Roman" w:hAnsi="Times New Roman"/>
          <w:sz w:val="20"/>
        </w:rPr>
      </w:pPr>
      <w:r>
        <w:rPr>
          <w:sz w:val="20"/>
        </w:rPr>
      </w:r>
    </w:p>
    <w:p>
      <w:pPr>
        <w:pStyle w:val="Normal"/>
        <w:bidi w:val="0"/>
        <w:ind w:hanging="0" w:start="0" w:end="0"/>
        <w:jc w:val="start"/>
        <w:rPr>
          <w:b/>
          <w:sz w:val="20"/>
        </w:rPr>
      </w:pPr>
      <w:r>
        <w:rPr>
          <w:b/>
          <w:sz w:val="20"/>
        </w:rPr>
        <w:t>7.</w:t>
        <w:tab/>
        <w:t>Right of Set-off.</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(a)</w:t>
        <w:tab/>
      </w:r>
      <w:r>
        <w:rPr>
          <w:i/>
          <w:sz w:val="20"/>
        </w:rPr>
        <w:t>Set-off Rights</w:t>
      </w:r>
      <w:r>
        <w:rPr>
          <w:sz w:val="20"/>
        </w:rPr>
        <w:t>.  In the event of an occurrence of an Early Termination Date, the Party Designate of the Non-Defaulting Party, on behalf of each party of the Non-Defaulting Party (as agent and attorney-in-fact for each such party) shall be entitled, at its option and in its sole discretion, to exercise one or more of the following rights and remedies:</w:t>
      </w:r>
    </w:p>
    <w:p>
      <w:pPr>
        <w:pStyle w:val="BodyText2"/>
        <w:numPr>
          <w:ilvl w:val="0"/>
          <w:numId w:val="0"/>
        </w:numPr>
        <w:bidi w:val="0"/>
        <w:ind w:firstLine="72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w:t>
        <w:tab/>
        <w:t>all rights and remedies available to a secured party under applicable law and/or under each Underlying Master Agreement with respect to collateral held by or for the Non-Defaulting Party (individually or collectively);</w:t>
      </w:r>
    </w:p>
    <w:p>
      <w:pPr>
        <w:pStyle w:val="BodyText2"/>
        <w:numPr>
          <w:ilvl w:val="0"/>
          <w:numId w:val="0"/>
        </w:numPr>
        <w:bidi w:val="0"/>
        <w:ind w:firstLine="72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(ii)</w:t>
        <w:tab/>
        <w:t xml:space="preserve">any other rights and remedies available to the Non-Defaulting Party (individually or collectively) under the terms of </w:t>
      </w:r>
      <w:r>
        <w:rPr>
          <w:b/>
          <w:sz w:val="20"/>
          <w:u w:val="double"/>
        </w:rPr>
        <w:t>the Underlying Master Agreements to which it is a party or any</w:t>
      </w:r>
      <w:r>
        <w:rPr>
          <w:sz w:val="20"/>
        </w:rPr>
        <w:t xml:space="preserve"> collateral, if any;</w:t>
      </w:r>
    </w:p>
    <w:p>
      <w:pPr>
        <w:pStyle w:val="BodyText2"/>
        <w:numPr>
          <w:ilvl w:val="0"/>
          <w:numId w:val="0"/>
        </w:numPr>
        <w:bidi w:val="0"/>
        <w:ind w:firstLine="72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(iii)</w:t>
        <w:tab/>
        <w:t xml:space="preserve">the right to set-off (including by set-off, </w:t>
      </w:r>
      <w:r>
        <w:rPr>
          <w:b/>
          <w:sz w:val="20"/>
          <w:u w:val="double"/>
        </w:rPr>
        <w:t>recoupment,</w:t>
      </w:r>
      <w:r>
        <w:rPr>
          <w:sz w:val="20"/>
        </w:rPr>
        <w:t xml:space="preserve"> offset, combination of accounts, retention, or withholding across or within each or all of the Underlying Master Agreements) any amounts payable and/or the cash equivalent of any amounts deliverable by the Defaulting Party (individually or collectively) under this Agreement </w:t>
      </w:r>
      <w:r>
        <w:rPr>
          <w:b/>
          <w:sz w:val="20"/>
          <w:u w:val="double"/>
        </w:rPr>
        <w:t>or otherwise</w:t>
      </w:r>
      <w:r>
        <w:rPr>
          <w:sz w:val="20"/>
        </w:rPr>
        <w:t xml:space="preserve"> against (1) any collateral or the cash equivalent of any collateral held by or for the Non-Defaulting Party (individually or collectively), and (2) any amounts owed (or with the lapse of time would have been owed) and/or the cash equivalent of any amounts deliverable to the Defaulting Party (individually or collectively) by the Non-Defaulting Party (individually or collectively) under this Agreement or otherwise;</w:t>
      </w:r>
    </w:p>
    <w:p>
      <w:pPr>
        <w:pStyle w:val="BodyText2"/>
        <w:numPr>
          <w:ilvl w:val="0"/>
          <w:numId w:val="0"/>
        </w:numPr>
        <w:bidi w:val="0"/>
        <w:ind w:hanging="720" w:start="216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(iv)</w:t>
        <w:tab/>
        <w:t xml:space="preserve">the right to set-off (including by set-off, </w:t>
      </w:r>
      <w:r>
        <w:rPr>
          <w:b/>
          <w:sz w:val="20"/>
          <w:u w:val="double"/>
        </w:rPr>
        <w:t>recoupment,</w:t>
      </w:r>
      <w:r>
        <w:rPr>
          <w:sz w:val="20"/>
        </w:rPr>
        <w:t xml:space="preserve"> offset, combination of accounts, retention, or withholding across or within each or all of the Underlying Master Agreements) any amounts payable and/or the cash equivalent of any amounts deliverable by the Non-Defaulting Party (individually or collectively) under this Agreement </w:t>
      </w:r>
      <w:r>
        <w:rPr>
          <w:b/>
          <w:sz w:val="20"/>
          <w:u w:val="double"/>
        </w:rPr>
        <w:t>or otherwise</w:t>
      </w:r>
      <w:r>
        <w:rPr>
          <w:sz w:val="20"/>
        </w:rPr>
        <w:t xml:space="preserve"> against (1) any collateral or the cash equivalent of any collateral held by or for the Defaulting Party (individually or collectively), and (2) any amounts owed (or with the lapse of time would have been owed) and/or the cash equivalent of any amounts deliverable to the Non-Defaulting Party (individually or collectively) by the Defaulting Party (individually or collectively) under this Agreement or otherwise; and</w:t>
      </w:r>
    </w:p>
    <w:p>
      <w:pPr>
        <w:pStyle w:val="BodyText2"/>
        <w:numPr>
          <w:ilvl w:val="0"/>
          <w:numId w:val="0"/>
        </w:numPr>
        <w:bidi w:val="0"/>
        <w:ind w:firstLine="72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 xml:space="preserve">(v) </w:t>
        <w:tab/>
        <w:t>the right to liquidate any collateral held by or for the Non-Defaulting Party (individually or collectively) through one or more public or private sales or other dispositions with such notice, if any, as may be required under applicable law, free from any claim or right of any nature whatsoever of the Defaulting Party (individually or collectively), including any equity or right of redemption by the Defaulting Party (individually or collectively) (with the Non-Defaulting Party (individually or collectively) having the right to purchase any or all of the collateral to be sold) and to apply the proceeds (or the cash equivalent thereof) from the liquidation of the collateral to any amounts payable by the Defaulting Party (individually or collectively) under this Agreement in the order as the Non-Defaulting Party (individually or collectively) may elect.</w:t>
      </w:r>
    </w:p>
    <w:p>
      <w:pPr>
        <w:pStyle w:val="BodyText2"/>
        <w:numPr>
          <w:ilvl w:val="0"/>
          <w:numId w:val="0"/>
        </w:numPr>
        <w:bidi w:val="0"/>
        <w:ind w:firstLine="72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(b)</w:t>
        <w:tab/>
      </w:r>
      <w:r>
        <w:rPr>
          <w:i/>
          <w:sz w:val="20"/>
        </w:rPr>
        <w:t>No Rights Waived</w:t>
      </w:r>
      <w:r>
        <w:rPr>
          <w:sz w:val="20"/>
        </w:rPr>
        <w:t xml:space="preserve">.  This Section shall be without prejudice and in addition to any right of setoff, combination of accounts, lien, or other rights to which any party is at any time otherwise entitled (whether by operation of law, contract, or otherwise).  </w:t>
      </w:r>
    </w:p>
    <w:p>
      <w:pPr>
        <w:pStyle w:val="BodyText2"/>
        <w:numPr>
          <w:ilvl w:val="0"/>
          <w:numId w:val="0"/>
        </w:numPr>
        <w:bidi w:val="0"/>
        <w:ind w:firstLine="72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(c)</w:t>
        <w:tab/>
      </w:r>
      <w:r>
        <w:rPr>
          <w:i/>
          <w:sz w:val="20"/>
        </w:rPr>
        <w:t>Condition Precedent</w:t>
      </w:r>
      <w:r>
        <w:rPr>
          <w:sz w:val="20"/>
        </w:rPr>
        <w:t>.  Notwithstanding any provision to the contrary contained in this Agreement, the Non-Defaulting Party shall not be required to pay to the Defaulting Party any amount under this Agreement until the Non-Defaulting Party receives confirmation satisfactory to it in its sole discretion that all obligations of any kind whatsoever of the Defaulting Party to make any payments or deliveries to the Non-Defaulting Party under this Agreement or otherwise which are due and payable and/or deliverable as of the Early Termination Date have been fully and finally performed.</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b/>
          <w:sz w:val="20"/>
          <w:u w:val="double"/>
        </w:rPr>
      </w:pPr>
      <w:r>
        <w:rPr>
          <w:b/>
          <w:sz w:val="20"/>
        </w:rPr>
        <w:t>8</w:t>
      </w:r>
      <w:r>
        <w:rPr>
          <w:b/>
          <w:sz w:val="20"/>
          <w:u w:val="double"/>
        </w:rPr>
        <w:t>.</w:t>
      </w:r>
      <w:r>
        <w:rPr>
          <w:b/>
          <w:sz w:val="20"/>
        </w:rPr>
        <w:tab/>
      </w:r>
      <w:r>
        <w:rPr>
          <w:b/>
          <w:sz w:val="20"/>
          <w:u w:val="double"/>
        </w:rPr>
        <w:t>Security Interest.</w:t>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Indent2"/>
        <w:bidi w:val="0"/>
        <w:rPr>
          <w:rFonts w:ascii="Times New Roman" w:hAnsi="Times New Roman"/>
          <w:b/>
          <w:u w:val="double"/>
        </w:rPr>
      </w:pPr>
      <w:r>
        <w:rPr>
          <w:b/>
          <w:u w:val="double"/>
        </w:rPr>
        <w:t>As security for the prompt and complete payment and performance of all obligations of the Enron Group, each Enron Party hereby pledges, assigns, conveys, and transfers to each BP Party, and hereby grants to the BP Group a present and continuing first priority security interest in and to, and a general first lien upon and right of setoff against all right, title, and interest any Enron Party has in any obligations of any BP Party to any Enron Party pursuant to this Agreement, together with all contract rights in respect of such obligations, other than any Aggregate Termination Payment payable by BP Group to Enron Group.  As security for the prompt and complete payment and performance of all obligations of the BP Group, each BP Party hereby pledges, assigns, conveys, and transfers to each Enron Party, and hereby grants to Enron Group a present and continuing first priority security interest in and to, and a general first lien upon and right of setoff against all right, title, and interest any BP Party has in any obligations of any Enron Party to any BP Party pursuant to this Agreement, together with all contract rights in respect of such obligations, other than any Aggregate Termination Payment payable by Enron Group to BP Group.  Each party agrees to take such action as the Other Party reasonably requests in order to perfect the Other Party's (individually or collectively) continuing security interest in, lien on, and right of setoff against the foregoing interests and grants authority to the Party Designate of the Other Party to file financing statements or take such other actions necessary to perfect the foregoing interests.</w:t>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Normal"/>
        <w:bidi w:val="0"/>
        <w:ind w:hanging="0" w:start="0" w:end="0"/>
        <w:jc w:val="start"/>
        <w:rPr>
          <w:b/>
          <w:sz w:val="20"/>
        </w:rPr>
      </w:pPr>
      <w:r>
        <w:rPr>
          <w:b/>
          <w:sz w:val="20"/>
          <w:u w:val="double"/>
        </w:rPr>
        <w:t>9</w:t>
      </w:r>
      <w:r>
        <w:rPr>
          <w:b/>
          <w:sz w:val="20"/>
        </w:rPr>
        <w:t>.</w:t>
        <w:tab/>
        <w:t>Transfer and Assignment.</w:t>
      </w:r>
    </w:p>
    <w:p>
      <w:pPr>
        <w:pStyle w:val="BodyText2"/>
        <w:keepNext w:val="true"/>
        <w:numPr>
          <w:ilvl w:val="0"/>
          <w:numId w:val="0"/>
        </w:numPr>
        <w:bidi w:val="0"/>
        <w:ind w:hanging="0" w:start="0"/>
        <w:outlineLvl w:val="0"/>
        <w:rPr>
          <w:rFonts w:ascii="Times New Roman" w:hAnsi="Times New Roman"/>
          <w:sz w:val="20"/>
        </w:rPr>
      </w:pPr>
      <w:r>
        <w:rPr>
          <w:sz w:val="20"/>
        </w:rPr>
      </w:r>
    </w:p>
    <w:p>
      <w:pPr>
        <w:pStyle w:val="OmniPage5"/>
        <w:bidi w:val="0"/>
        <w:ind w:hanging="718" w:start="1440" w:end="136"/>
        <w:jc w:val="both"/>
        <w:rPr>
          <w:rFonts w:ascii="Times New Roman" w:hAnsi="Times New Roman"/>
        </w:rPr>
      </w:pPr>
      <w:r>
        <w:rPr/>
        <w:t xml:space="preserve">(a)  </w:t>
        <w:tab/>
        <w:t xml:space="preserve">Any assignment or other transfer of an Underlying Master Agreement and Transactions subject thereto by any Enron Party to an </w:t>
      </w:r>
      <w:r>
        <w:rPr>
          <w:strike/>
        </w:rPr>
        <w:t>Enron</w:t>
      </w:r>
      <w:r>
        <w:rPr/>
        <w:t xml:space="preserve"> Affiliate </w:t>
      </w:r>
      <w:r>
        <w:rPr>
          <w:b/>
          <w:u w:val="double"/>
        </w:rPr>
        <w:t>of such Enron Party</w:t>
      </w:r>
      <w:r>
        <w:rPr/>
        <w:t xml:space="preserve"> or by any BP Party to </w:t>
      </w:r>
      <w:r>
        <w:rPr>
          <w:strike/>
        </w:rPr>
        <w:t>a BP</w:t>
      </w:r>
      <w:r>
        <w:rPr/>
        <w:t xml:space="preserve"> </w:t>
      </w:r>
      <w:r>
        <w:rPr>
          <w:b/>
          <w:u w:val="double"/>
        </w:rPr>
        <w:t>an</w:t>
      </w:r>
      <w:r>
        <w:rPr/>
        <w:t xml:space="preserve"> Affiliate </w:t>
      </w:r>
      <w:r>
        <w:rPr>
          <w:b/>
          <w:u w:val="double"/>
        </w:rPr>
        <w:t>of such BP Party</w:t>
      </w:r>
      <w:r>
        <w:rPr/>
        <w:t xml:space="preserv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w:t>
      </w:r>
      <w:r>
        <w:rPr>
          <w:b/>
          <w:u w:val="double"/>
        </w:rPr>
        <w:t>is made</w:t>
      </w:r>
      <w:r>
        <w:rPr/>
        <w:t xml:space="preserve"> expressly subject and subordinate to this Agreement.</w:t>
      </w:r>
    </w:p>
    <w:p>
      <w:pPr>
        <w:pStyle w:val="OmniPage5"/>
        <w:bidi w:val="0"/>
        <w:ind w:firstLine="722" w:start="88" w:end="136"/>
        <w:jc w:val="both"/>
        <w:rPr>
          <w:rFonts w:ascii="Times New Roman" w:hAnsi="Times New Roman"/>
        </w:rPr>
      </w:pPr>
      <w:r>
        <w:rPr/>
      </w:r>
    </w:p>
    <w:p>
      <w:pPr>
        <w:pStyle w:val="OmniPage5"/>
        <w:bidi w:val="0"/>
        <w:ind w:hanging="718" w:start="1440" w:end="136"/>
        <w:jc w:val="both"/>
        <w:rPr>
          <w:rFonts w:ascii="Times New Roman" w:hAnsi="Times New Roman"/>
        </w:rPr>
      </w:pPr>
      <w:r>
        <w:rPr/>
        <w:t xml:space="preserve">(b)  </w:t>
        <w:tab/>
        <w:t xml:space="preserve">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w:t>
      </w:r>
      <w:r>
        <w:rPr>
          <w:b/>
          <w:u w:val="double"/>
        </w:rPr>
        <w:t>is made</w:t>
      </w:r>
      <w:r>
        <w:rPr/>
        <w:t xml:space="preserve"> expressly subject and subordinate to this Agreement. </w:t>
      </w:r>
    </w:p>
    <w:p>
      <w:pPr>
        <w:pStyle w:val="OmniPage5"/>
        <w:bidi w:val="0"/>
        <w:ind w:firstLine="722" w:start="88" w:end="136"/>
        <w:jc w:val="both"/>
        <w:rPr>
          <w:rFonts w:ascii="Times New Roman" w:hAnsi="Times New Roman"/>
        </w:rPr>
      </w:pPr>
      <w:r>
        <w:rPr/>
      </w:r>
    </w:p>
    <w:p>
      <w:pPr>
        <w:pStyle w:val="OmniPage5"/>
        <w:bidi w:val="0"/>
        <w:ind w:hanging="718" w:start="1440" w:end="136"/>
        <w:jc w:val="both"/>
        <w:rPr>
          <w:rFonts w:ascii="Times New Roman" w:hAnsi="Times New Roman"/>
        </w:rPr>
      </w:pPr>
      <w:r>
        <w:rPr/>
        <w:t xml:space="preserve">(c)  </w:t>
        <w:tab/>
        <w:t xml:space="preserve">This Agreement, the Underlying Master Agreements and Transactions thereunder, and any rights to amounts payable to a party thereunder, shall not be assigned by any Enron Party or any BP Party without the prior written consent of the Party Designate of the </w:t>
      </w:r>
      <w:r>
        <w:rPr>
          <w:strike/>
        </w:rPr>
        <w:t>BP</w:t>
      </w:r>
      <w:r>
        <w:rPr/>
        <w:t xml:space="preserve"> </w:t>
      </w:r>
      <w:r>
        <w:rPr>
          <w:b/>
          <w:u w:val="double"/>
        </w:rPr>
        <w:t>Other</w:t>
      </w:r>
      <w:r>
        <w:rPr/>
        <w:t xml:space="preserve"> Party </w:t>
      </w:r>
      <w:r>
        <w:rPr>
          <w:strike/>
        </w:rPr>
        <w:t>or the Party Designate for the Enron Party</w:t>
      </w:r>
      <w:r>
        <w:rPr/>
        <w:t xml:space="preserve">, </w:t>
      </w:r>
      <w:r>
        <w:rPr>
          <w:strike/>
        </w:rPr>
        <w:t>respectively,</w:t>
      </w:r>
      <w:r>
        <w:rPr/>
        <w:t xml:space="preserve">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bidi w:val="0"/>
        <w:ind w:firstLine="722" w:start="88" w:end="136"/>
        <w:jc w:val="both"/>
        <w:rPr>
          <w:rFonts w:ascii="Times New Roman" w:hAnsi="Times New Roman"/>
        </w:rPr>
      </w:pPr>
      <w:r>
        <w:rPr/>
      </w:r>
    </w:p>
    <w:p>
      <w:pPr>
        <w:pStyle w:val="OmniPage5"/>
        <w:bidi w:val="0"/>
        <w:ind w:firstLine="722" w:start="0" w:end="136"/>
        <w:jc w:val="both"/>
        <w:rPr>
          <w:rFonts w:ascii="Times New Roman" w:hAnsi="Times New Roman"/>
        </w:rPr>
      </w:pPr>
      <w:r>
        <w:rPr/>
        <w:t xml:space="preserve">(d)  </w:t>
        <w:tab/>
        <w:t>Any purported assignment or other transfer that is not in compliance herewith shall be void.</w:t>
      </w:r>
    </w:p>
    <w:p>
      <w:pPr>
        <w:pStyle w:val="Normal"/>
        <w:bidi w:val="0"/>
        <w:ind w:hanging="0" w:start="0" w:end="0"/>
        <w:jc w:val="start"/>
        <w:rPr>
          <w:sz w:val="20"/>
        </w:rPr>
      </w:pPr>
      <w:r>
        <w:rPr>
          <w:sz w:val="20"/>
        </w:rPr>
      </w:r>
    </w:p>
    <w:p>
      <w:pPr>
        <w:pStyle w:val="Normal"/>
        <w:bidi w:val="0"/>
        <w:ind w:hanging="0" w:start="0" w:end="0"/>
        <w:jc w:val="start"/>
        <w:rPr>
          <w:sz w:val="20"/>
        </w:rPr>
      </w:pPr>
      <w:r>
        <w:rPr>
          <w:strike/>
          <w:sz w:val="20"/>
        </w:rPr>
        <w:t>9</w:t>
      </w:r>
    </w:p>
    <w:p>
      <w:pPr>
        <w:pStyle w:val="Normal"/>
        <w:bidi w:val="0"/>
        <w:ind w:hanging="0" w:start="0" w:end="0"/>
        <w:jc w:val="start"/>
        <w:rPr>
          <w:b/>
          <w:sz w:val="20"/>
        </w:rPr>
      </w:pPr>
      <w:r>
        <w:rPr>
          <w:b/>
          <w:sz w:val="20"/>
          <w:u w:val="double"/>
        </w:rPr>
        <w:t>10</w:t>
      </w:r>
      <w:r>
        <w:rPr>
          <w:b/>
          <w:sz w:val="20"/>
        </w:rPr>
        <w:t>.</w:t>
        <w:tab/>
        <w:t>Notices.</w:t>
      </w:r>
    </w:p>
    <w:p>
      <w:pPr>
        <w:pStyle w:val="Normal"/>
        <w:bidi w:val="0"/>
        <w:ind w:hanging="0" w:start="0" w:end="0"/>
        <w:jc w:val="start"/>
        <w:rPr>
          <w:sz w:val="20"/>
        </w:rPr>
      </w:pPr>
      <w:r>
        <w:rPr>
          <w:sz w:val="20"/>
        </w:rPr>
      </w:r>
    </w:p>
    <w:p>
      <w:pPr>
        <w:pStyle w:val="OmniPage5"/>
        <w:bidi w:val="0"/>
        <w:ind w:firstLine="722" w:start="100" w:end="138"/>
        <w:jc w:val="both"/>
        <w:rPr>
          <w:rFonts w:ascii="Times New Roman" w:hAnsi="Times New Roman"/>
        </w:rPr>
      </w:pPr>
      <w:r>
        <w:rPr/>
        <w:t xml:space="preserve">Any and all notices, statements, demands, or other communications under this Agreement shall be given as provided in each Underlying Master Agreement unless such notice, statement, demand, or other communication specifically relates to a provision of this NA Master Agreement, in which case, such notice, statement, demand, or other communication shall be given by mail, facsimile transmission, electronic message system, or messenger, to the individuals and at the facsimile numbers, electronic message addresses, or other locations set forth below.  </w:t>
      </w:r>
    </w:p>
    <w:p>
      <w:pPr>
        <w:pStyle w:val="Normal"/>
        <w:keepNext w:val="true"/>
        <w:bidi w:val="0"/>
        <w:spacing w:lineRule="exact" w:line="240" w:before="240" w:after="0"/>
        <w:ind w:hanging="720" w:start="720" w:end="0"/>
        <w:jc w:val="both"/>
        <w:rPr>
          <w:sz w:val="20"/>
        </w:rPr>
      </w:pPr>
      <w:r>
        <w:rPr>
          <w:sz w:val="20"/>
        </w:rPr>
        <w:t>Address for notices or communications to Enron Group:</w:t>
      </w:r>
    </w:p>
    <w:p>
      <w:pPr>
        <w:pStyle w:val="Normal"/>
        <w:keepNext w:val="true"/>
        <w:bidi w:val="0"/>
        <w:spacing w:lineRule="exact" w:line="240"/>
        <w:ind w:hanging="720" w:start="720" w:end="0"/>
        <w:jc w:val="both"/>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sz w:val="20"/>
              </w:rPr>
            </w:pPr>
            <w:r>
              <w:rPr>
                <w:sz w:val="20"/>
              </w:rPr>
              <w:t xml:space="preserve">Address: </w:t>
            </w:r>
          </w:p>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sz w:val="20"/>
              </w:rPr>
            </w:pPr>
            <w:r>
              <w:rPr>
                <w:sz w:val="20"/>
              </w:rPr>
            </w:r>
          </w:p>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sz w:val="20"/>
              </w:rPr>
            </w:pPr>
            <w:r>
              <w:rPr>
                <w:sz w:val="20"/>
              </w:rPr>
            </w:r>
          </w:p>
          <w:p>
            <w:pPr>
              <w:pStyle w:val="Normal"/>
              <w:keepNext w:val="true"/>
              <w:tabs>
                <w:tab w:val="clear" w:pos="720"/>
                <w:tab w:val="left" w:pos="2880" w:leader="none"/>
                <w:tab w:val="left" w:pos="9360" w:leader="none"/>
              </w:tabs>
              <w:bidi w:val="0"/>
              <w:spacing w:lineRule="atLeast" w:line="240"/>
              <w:ind w:hanging="0" w:start="0" w:end="0"/>
              <w:jc w:val="both"/>
              <w:rPr>
                <w:sz w:val="20"/>
              </w:rPr>
            </w:pPr>
            <w:r>
              <w:rPr>
                <w:sz w:val="20"/>
              </w:rPr>
              <w:t>Street Address:</w:t>
            </w:r>
          </w:p>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sz w:val="20"/>
              </w:rPr>
            </w:pPr>
            <w:r>
              <w:rPr>
                <w:sz w:val="20"/>
              </w:rPr>
              <w:t>(for courier delivery)</w:t>
            </w:r>
          </w:p>
          <w:p>
            <w:pPr>
              <w:pStyle w:val="Normal"/>
              <w:keepNext w:val="true"/>
              <w:tabs>
                <w:tab w:val="left" w:pos="720" w:leader="none"/>
                <w:tab w:val="right" w:pos="9360" w:leader="dot"/>
              </w:tabs>
              <w:bidi w:val="0"/>
              <w:spacing w:lineRule="exact" w:line="240"/>
              <w:ind w:hanging="0" w:start="0" w:end="0"/>
              <w:jc w:val="both"/>
              <w:rPr>
                <w:sz w:val="20"/>
              </w:rPr>
            </w:pPr>
            <w:r>
              <w:rPr>
                <w:sz w:val="20"/>
              </w:rPr>
            </w:r>
          </w:p>
        </w:tc>
        <w:tc>
          <w:tcPr>
            <w:tcW w:w="4139" w:type="dxa"/>
            <w:tcBorders/>
          </w:tcPr>
          <w:p>
            <w:pPr>
              <w:pStyle w:val="Normal"/>
              <w:keepNext w:val="true"/>
              <w:tabs>
                <w:tab w:val="clear" w:pos="720"/>
                <w:tab w:val="left" w:pos="4230" w:leader="none"/>
                <w:tab w:val="left" w:pos="9360" w:leader="none"/>
              </w:tabs>
              <w:bidi w:val="0"/>
              <w:spacing w:lineRule="exact" w:line="240"/>
              <w:ind w:hanging="0" w:start="0" w:end="0"/>
              <w:jc w:val="both"/>
              <w:rPr>
                <w:sz w:val="20"/>
              </w:rPr>
            </w:pPr>
            <w:r>
              <w:rPr>
                <w:sz w:val="20"/>
              </w:rPr>
              <w:t>Enron North America Corp.</w:t>
            </w:r>
          </w:p>
          <w:p>
            <w:pPr>
              <w:pStyle w:val="Normal"/>
              <w:keepNext w:val="true"/>
              <w:tabs>
                <w:tab w:val="clear" w:pos="720"/>
                <w:tab w:val="left" w:pos="4230" w:leader="none"/>
                <w:tab w:val="left" w:pos="9360" w:leader="none"/>
              </w:tabs>
              <w:bidi w:val="0"/>
              <w:spacing w:lineRule="exact" w:line="240"/>
              <w:ind w:hanging="0" w:start="0" w:end="0"/>
              <w:jc w:val="both"/>
              <w:rPr>
                <w:sz w:val="20"/>
              </w:rPr>
            </w:pPr>
            <w:r>
              <w:rPr>
                <w:sz w:val="20"/>
              </w:rPr>
              <w:t>P.O. Box 4428</w:t>
            </w:r>
          </w:p>
          <w:p>
            <w:pPr>
              <w:pStyle w:val="Normal"/>
              <w:keepNext w:val="true"/>
              <w:tabs>
                <w:tab w:val="clear" w:pos="720"/>
                <w:tab w:val="left" w:pos="4230" w:leader="none"/>
                <w:tab w:val="left" w:pos="9360" w:leader="none"/>
              </w:tabs>
              <w:bidi w:val="0"/>
              <w:spacing w:lineRule="exact" w:line="240"/>
              <w:ind w:hanging="0" w:start="0" w:end="0"/>
              <w:jc w:val="both"/>
              <w:rPr>
                <w:sz w:val="20"/>
              </w:rPr>
            </w:pPr>
            <w:r>
              <w:rPr>
                <w:sz w:val="20"/>
              </w:rPr>
              <w:t>Houston, Texas  77210-4428</w:t>
            </w:r>
          </w:p>
          <w:p>
            <w:pPr>
              <w:pStyle w:val="Normal"/>
              <w:keepNext w:val="true"/>
              <w:tabs>
                <w:tab w:val="clear" w:pos="720"/>
                <w:tab w:val="left" w:pos="4230" w:leader="none"/>
                <w:tab w:val="left" w:pos="9360" w:leader="none"/>
              </w:tabs>
              <w:bidi w:val="0"/>
              <w:spacing w:lineRule="exact" w:line="240"/>
              <w:ind w:hanging="0" w:start="0" w:end="0"/>
              <w:jc w:val="both"/>
              <w:rPr>
                <w:sz w:val="20"/>
              </w:rPr>
            </w:pPr>
            <w:r>
              <w:rPr>
                <w:sz w:val="20"/>
              </w:rPr>
              <w:t>1400 Smith Street</w:t>
            </w:r>
          </w:p>
          <w:p>
            <w:pPr>
              <w:pStyle w:val="Normal"/>
              <w:keepNext w:val="true"/>
              <w:tabs>
                <w:tab w:val="clear" w:pos="720"/>
                <w:tab w:val="left" w:pos="4230" w:leader="none"/>
                <w:tab w:val="left" w:pos="9360" w:leader="none"/>
              </w:tabs>
              <w:bidi w:val="0"/>
              <w:spacing w:lineRule="exact" w:line="240"/>
              <w:ind w:hanging="0" w:start="0" w:end="0"/>
              <w:jc w:val="both"/>
              <w:rPr>
                <w:sz w:val="20"/>
              </w:rPr>
            </w:pPr>
            <w:r>
              <w:rPr>
                <w:sz w:val="20"/>
              </w:rPr>
              <w:t>Houston, Texas 77002</w:t>
            </w:r>
          </w:p>
          <w:p>
            <w:pPr>
              <w:pStyle w:val="Justified"/>
              <w:keepNext w:val="true"/>
              <w:widowControl/>
              <w:tabs>
                <w:tab w:val="clear" w:pos="720"/>
                <w:tab w:val="left" w:pos="4230" w:leader="none"/>
                <w:tab w:val="left" w:pos="9360" w:leader="none"/>
              </w:tabs>
              <w:bidi w:val="0"/>
              <w:spacing w:lineRule="exact" w:line="240" w:before="0" w:after="0"/>
              <w:rPr/>
            </w:pPr>
            <w:r>
              <w:rPr>
                <w:rFonts w:ascii="Times New Roman" w:hAnsi="Times New Roman"/>
                <w:sz w:val="20"/>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end="0"/>
              <w:jc w:val="both"/>
              <w:rPr>
                <w:sz w:val="20"/>
                <w:u w:val="single"/>
              </w:rPr>
            </w:pPr>
            <w:r>
              <w:rPr>
                <w:sz w:val="20"/>
              </w:rPr>
              <w:t>Facsimile No.:  (713) 646-4816</w:t>
            </w:r>
          </w:p>
          <w:p>
            <w:pPr>
              <w:pStyle w:val="Normal"/>
              <w:keepNext w:val="true"/>
              <w:tabs>
                <w:tab w:val="clear" w:pos="720"/>
                <w:tab w:val="left" w:pos="4230" w:leader="none"/>
                <w:tab w:val="left" w:pos="9360" w:leader="none"/>
              </w:tabs>
              <w:bidi w:val="0"/>
              <w:spacing w:lineRule="exact" w:line="240"/>
              <w:ind w:hanging="0" w:start="72" w:end="0"/>
              <w:jc w:val="both"/>
              <w:rPr/>
            </w:pPr>
            <w:r>
              <w:rPr>
                <w:sz w:val="20"/>
              </w:rPr>
              <w:t>Telephone No.:  (713) 853-3300</w:t>
            </w:r>
          </w:p>
        </w:tc>
      </w:tr>
    </w:tbl>
    <w:p>
      <w:pPr>
        <w:pStyle w:val="Normal"/>
        <w:tabs>
          <w:tab w:val="clear" w:pos="720"/>
          <w:tab w:val="right" w:pos="9360" w:leader="dot"/>
        </w:tabs>
        <w:bidi w:val="0"/>
        <w:spacing w:lineRule="exact" w:line="240" w:before="240" w:after="0"/>
        <w:ind w:hanging="0" w:start="0" w:end="0"/>
        <w:jc w:val="both"/>
        <w:rPr>
          <w:sz w:val="20"/>
        </w:rPr>
      </w:pPr>
      <w:r>
        <w:rPr>
          <w:sz w:val="20"/>
        </w:rPr>
        <w:t>A copy of any notice sent to Enron Group pursuant to Section 6 must also be sent to (i) Enron Corp., Attention:  Corporate Secretary at the above address and facsimile no. (713) 853-2534, and (ii) Enron North America Corp., Attention:  Assistant General Counsel, Trading Group at the above address and facsimile no. (713) 646-4818</w:t>
      </w:r>
      <w:r>
        <w:rPr>
          <w:b/>
          <w:sz w:val="20"/>
          <w:u w:val="double"/>
        </w:rPr>
        <w:t>, and Attention: Credit Department at the above address and facsimile no. (713) 853-9476</w:t>
      </w:r>
      <w:r>
        <w:rPr>
          <w:sz w:val="20"/>
        </w:rPr>
        <w:t>.</w:t>
      </w:r>
    </w:p>
    <w:p>
      <w:pPr>
        <w:pStyle w:val="Normal"/>
        <w:tabs>
          <w:tab w:val="clear" w:pos="720"/>
          <w:tab w:val="right" w:pos="9360" w:leader="dot"/>
        </w:tabs>
        <w:bidi w:val="0"/>
        <w:spacing w:lineRule="exact" w:line="240"/>
        <w:ind w:hanging="0" w:start="0" w:end="0"/>
        <w:jc w:val="both"/>
        <w:rPr>
          <w:sz w:val="20"/>
        </w:rPr>
      </w:pPr>
      <w:r>
        <w:rPr>
          <w:sz w:val="20"/>
        </w:rPr>
      </w:r>
    </w:p>
    <w:p>
      <w:pPr>
        <w:pStyle w:val="Normal"/>
        <w:keepNext w:val="true"/>
        <w:tabs>
          <w:tab w:val="left" w:pos="720" w:leader="none"/>
          <w:tab w:val="right" w:pos="9360" w:leader="dot"/>
        </w:tabs>
        <w:bidi w:val="0"/>
        <w:spacing w:lineRule="exact" w:line="240"/>
        <w:ind w:hanging="720" w:start="720" w:end="0"/>
        <w:jc w:val="both"/>
        <w:rPr>
          <w:sz w:val="20"/>
        </w:rPr>
      </w:pPr>
      <w:r>
        <w:rPr>
          <w:sz w:val="20"/>
        </w:rPr>
        <w:t>Address for notices or communications to BP Group:</w:t>
      </w:r>
    </w:p>
    <w:p>
      <w:pPr>
        <w:pStyle w:val="Normal"/>
        <w:keepNext w:val="true"/>
        <w:tabs>
          <w:tab w:val="left" w:pos="720" w:leader="none"/>
          <w:tab w:val="right" w:pos="9360" w:leader="dot"/>
        </w:tabs>
        <w:bidi w:val="0"/>
        <w:spacing w:lineRule="exact" w:line="240"/>
        <w:ind w:hanging="720" w:start="720" w:end="0"/>
        <w:jc w:val="both"/>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sz w:val="20"/>
              </w:rPr>
            </w:pPr>
            <w:r>
              <w:rPr>
                <w:sz w:val="20"/>
              </w:rPr>
              <w:t xml:space="preserve">Address: </w:t>
            </w:r>
          </w:p>
          <w:p>
            <w:pPr>
              <w:pStyle w:val="Normal"/>
              <w:keepNext w:val="true"/>
              <w:tabs>
                <w:tab w:val="clear" w:pos="720"/>
                <w:tab w:val="left" w:pos="2880" w:leader="none"/>
                <w:tab w:val="left" w:pos="9360" w:leader="none"/>
              </w:tabs>
              <w:bidi w:val="0"/>
              <w:spacing w:lineRule="atLeast" w:line="240"/>
              <w:ind w:hanging="0" w:start="0" w:end="0"/>
              <w:jc w:val="both"/>
              <w:rPr>
                <w:sz w:val="20"/>
              </w:rPr>
            </w:pPr>
            <w:r>
              <w:rPr>
                <w:sz w:val="20"/>
              </w:rPr>
            </w:r>
          </w:p>
          <w:p>
            <w:pPr>
              <w:pStyle w:val="Normal"/>
              <w:keepNext w:val="true"/>
              <w:tabs>
                <w:tab w:val="clear" w:pos="720"/>
                <w:tab w:val="left" w:pos="2880" w:leader="none"/>
                <w:tab w:val="left" w:pos="9360" w:leader="none"/>
              </w:tabs>
              <w:bidi w:val="0"/>
              <w:spacing w:lineRule="atLeast" w:line="240"/>
              <w:ind w:hanging="0" w:start="0" w:end="0"/>
              <w:jc w:val="both"/>
              <w:rPr>
                <w:sz w:val="20"/>
              </w:rPr>
            </w:pPr>
            <w:r>
              <w:rPr>
                <w:sz w:val="20"/>
              </w:rPr>
            </w:r>
          </w:p>
          <w:p>
            <w:pPr>
              <w:pStyle w:val="Normal"/>
              <w:keepNext w:val="true"/>
              <w:tabs>
                <w:tab w:val="clear" w:pos="720"/>
                <w:tab w:val="left" w:pos="2880" w:leader="none"/>
                <w:tab w:val="left" w:pos="9360" w:leader="none"/>
              </w:tabs>
              <w:bidi w:val="0"/>
              <w:spacing w:lineRule="atLeast" w:line="240"/>
              <w:ind w:hanging="0" w:start="0" w:end="0"/>
              <w:jc w:val="both"/>
              <w:rPr>
                <w:sz w:val="20"/>
              </w:rPr>
            </w:pPr>
            <w:r>
              <w:rPr>
                <w:sz w:val="20"/>
              </w:rPr>
              <w:t>Street Address:</w:t>
            </w:r>
          </w:p>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sz w:val="20"/>
              </w:rPr>
            </w:pPr>
            <w:r>
              <w:rPr>
                <w:sz w:val="20"/>
              </w:rPr>
              <w:t>(for courier delivery)</w:t>
            </w:r>
            <w:r>
              <w:rPr>
                <w:sz w:val="20"/>
                <w:u w:val="single"/>
              </w:rPr>
              <w:t xml:space="preserve"> </w:t>
            </w:r>
          </w:p>
          <w:p>
            <w:pPr>
              <w:pStyle w:val="Normal"/>
              <w:keepNext w:val="true"/>
              <w:tabs>
                <w:tab w:val="left" w:pos="720" w:leader="none"/>
                <w:tab w:val="right" w:pos="9360" w:leader="dot"/>
              </w:tabs>
              <w:bidi w:val="0"/>
              <w:spacing w:lineRule="exact" w:line="240"/>
              <w:ind w:hanging="0" w:start="0" w:end="0"/>
              <w:jc w:val="both"/>
              <w:rPr>
                <w:sz w:val="20"/>
              </w:rPr>
            </w:pPr>
            <w:r>
              <w:rPr>
                <w:sz w:val="20"/>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ind w:hanging="0" w:start="0" w:end="0"/>
              <w:jc w:val="both"/>
              <w:rPr>
                <w:sz w:val="20"/>
              </w:rPr>
            </w:pPr>
            <w:r>
              <w:rPr>
                <w:sz w:val="20"/>
              </w:rPr>
              <w:t>BP Corporation North America Inc.</w:t>
            </w:r>
          </w:p>
          <w:p>
            <w:pPr>
              <w:pStyle w:val="Normal"/>
              <w:keepNext w:val="true"/>
              <w:tabs>
                <w:tab w:val="clear" w:pos="720"/>
                <w:tab w:val="left" w:pos="3762" w:leader="none"/>
                <w:tab w:val="left" w:pos="4230" w:leader="none"/>
                <w:tab w:val="left" w:pos="9360" w:leader="none"/>
              </w:tabs>
              <w:bidi w:val="0"/>
              <w:spacing w:lineRule="exact" w:line="240"/>
              <w:ind w:hanging="0" w:start="0" w:end="0"/>
              <w:jc w:val="both"/>
              <w:rPr>
                <w:sz w:val="20"/>
              </w:rPr>
            </w:pPr>
            <w:r>
              <w:rPr>
                <w:sz w:val="20"/>
              </w:rPr>
              <w:t>P.O. Box 3092</w:t>
            </w:r>
          </w:p>
          <w:p>
            <w:pPr>
              <w:pStyle w:val="Normal"/>
              <w:keepNext w:val="true"/>
              <w:tabs>
                <w:tab w:val="clear" w:pos="720"/>
                <w:tab w:val="left" w:pos="3762" w:leader="none"/>
                <w:tab w:val="left" w:pos="4230" w:leader="none"/>
                <w:tab w:val="left" w:pos="9360" w:leader="none"/>
              </w:tabs>
              <w:bidi w:val="0"/>
              <w:spacing w:lineRule="exact" w:line="240"/>
              <w:ind w:hanging="0" w:start="0" w:end="0"/>
              <w:jc w:val="both"/>
              <w:rPr>
                <w:sz w:val="20"/>
              </w:rPr>
            </w:pPr>
            <w:r>
              <w:rPr>
                <w:sz w:val="20"/>
              </w:rPr>
              <w:t>Houston, Texas 77253-3092</w:t>
            </w:r>
          </w:p>
          <w:p>
            <w:pPr>
              <w:pStyle w:val="Normal"/>
              <w:keepNext w:val="true"/>
              <w:tabs>
                <w:tab w:val="clear" w:pos="720"/>
                <w:tab w:val="left" w:pos="3762" w:leader="none"/>
                <w:tab w:val="left" w:pos="4230" w:leader="none"/>
                <w:tab w:val="left" w:pos="9360" w:leader="none"/>
              </w:tabs>
              <w:bidi w:val="0"/>
              <w:spacing w:lineRule="exact" w:line="240"/>
              <w:ind w:hanging="0" w:start="0" w:end="0"/>
              <w:jc w:val="both"/>
              <w:rPr>
                <w:sz w:val="20"/>
              </w:rPr>
            </w:pPr>
            <w:r>
              <w:rPr>
                <w:sz w:val="20"/>
              </w:rPr>
              <w:t>501 Westlake Park Blvd.</w:t>
            </w:r>
          </w:p>
          <w:p>
            <w:pPr>
              <w:pStyle w:val="Normal"/>
              <w:keepNext w:val="true"/>
              <w:tabs>
                <w:tab w:val="clear" w:pos="720"/>
                <w:tab w:val="left" w:pos="3762" w:leader="none"/>
                <w:tab w:val="left" w:pos="4230" w:leader="none"/>
                <w:tab w:val="left" w:pos="9360" w:leader="none"/>
              </w:tabs>
              <w:bidi w:val="0"/>
              <w:spacing w:lineRule="exact" w:line="240"/>
              <w:ind w:hanging="0" w:start="0" w:end="0"/>
              <w:jc w:val="both"/>
              <w:rPr>
                <w:sz w:val="20"/>
              </w:rPr>
            </w:pPr>
            <w:r>
              <w:rPr>
                <w:sz w:val="20"/>
              </w:rPr>
              <w:t>Houston, Texas 77079</w:t>
            </w:r>
          </w:p>
          <w:p>
            <w:pPr>
              <w:pStyle w:val="Normal"/>
              <w:keepNext w:val="true"/>
              <w:tabs>
                <w:tab w:val="clear" w:pos="720"/>
                <w:tab w:val="left" w:pos="3762" w:leader="none"/>
                <w:tab w:val="left" w:pos="4230" w:leader="none"/>
                <w:tab w:val="left" w:pos="9360" w:leader="none"/>
              </w:tabs>
              <w:bidi w:val="0"/>
              <w:spacing w:lineRule="exact" w:line="240"/>
              <w:ind w:hanging="0" w:start="0" w:end="0"/>
              <w:jc w:val="both"/>
              <w:rPr/>
            </w:pPr>
            <w:r>
              <w:rPr>
                <w:sz w:val="20"/>
              </w:rPr>
              <w:t>Attn.:  Director, Documentation Department</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end="0"/>
              <w:jc w:val="both"/>
              <w:rPr>
                <w:sz w:val="20"/>
              </w:rPr>
            </w:pPr>
            <w:r>
              <w:rPr>
                <w:sz w:val="20"/>
              </w:rPr>
              <w:t>Facsimile No.:  (281) 366-7909</w:t>
            </w:r>
          </w:p>
          <w:p>
            <w:pPr>
              <w:pStyle w:val="Normal"/>
              <w:keepNext w:val="true"/>
              <w:tabs>
                <w:tab w:val="clear" w:pos="720"/>
                <w:tab w:val="left" w:pos="2952" w:leader="none"/>
                <w:tab w:val="left" w:pos="4230" w:leader="none"/>
                <w:tab w:val="left" w:pos="9360" w:leader="none"/>
              </w:tabs>
              <w:bidi w:val="0"/>
              <w:spacing w:lineRule="exact" w:line="240"/>
              <w:ind w:hanging="0" w:start="72" w:end="0"/>
              <w:jc w:val="both"/>
              <w:rPr/>
            </w:pPr>
            <w:r>
              <w:rPr>
                <w:sz w:val="20"/>
              </w:rPr>
              <w:t>Telephone No.: (281) 366-3449</w:t>
            </w:r>
          </w:p>
        </w:tc>
      </w:tr>
    </w:tbl>
    <w:p>
      <w:pPr>
        <w:pStyle w:val="OmniPage5"/>
        <w:bidi w:val="0"/>
        <w:ind w:firstLine="722" w:start="100" w:end="138"/>
        <w:jc w:val="both"/>
        <w:rPr>
          <w:rFonts w:ascii="Times New Roman" w:hAnsi="Times New Roman"/>
        </w:rPr>
      </w:pPr>
      <w:r>
        <w:rPr/>
        <w:t xml:space="preserve"> </w:t>
      </w:r>
    </w:p>
    <w:p>
      <w:pPr>
        <w:pStyle w:val="OmniPage5"/>
        <w:bidi w:val="0"/>
        <w:ind w:hanging="0" w:start="0" w:end="138"/>
        <w:jc w:val="both"/>
        <w:rPr>
          <w:rFonts w:ascii="Times New Roman" w:hAnsi="Times New Roman"/>
        </w:rPr>
      </w:pPr>
      <w:r>
        <w:rPr/>
        <w:t>A copy of any notice sent to BP Group pursuant to Section 6 must also be sent to BP Corporation North America Inc., Attention:  BP Legal Gas &amp; Power at the above address and facsimile no. (281) 366-5901.</w:t>
      </w:r>
    </w:p>
    <w:p>
      <w:pPr>
        <w:pStyle w:val="OmniPage5"/>
        <w:bidi w:val="0"/>
        <w:ind w:hanging="0" w:start="0" w:end="138"/>
        <w:jc w:val="both"/>
        <w:rPr>
          <w:rFonts w:ascii="Times New Roman" w:hAnsi="Times New Roman"/>
        </w:rPr>
      </w:pPr>
      <w:r>
        <w:rPr/>
      </w:r>
    </w:p>
    <w:p>
      <w:pPr>
        <w:pStyle w:val="BodyText2"/>
        <w:bidi w:val="0"/>
        <w:ind w:hanging="0" w:start="0" w:end="0"/>
        <w:rPr>
          <w:rFonts w:ascii="Times New Roman" w:hAnsi="Times New Roman"/>
        </w:rPr>
      </w:pPr>
      <w:r>
        <w:rPr/>
        <w:t xml:space="preserve">Any notice or other communication in respect of this </w:t>
      </w:r>
      <w:r>
        <w:rPr>
          <w:b/>
          <w:u w:val="double"/>
        </w:rPr>
        <w:t>NA Master</w:t>
      </w:r>
      <w:r>
        <w:rPr/>
        <w:t xml:space="preserve">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bidi w:val="0"/>
        <w:ind w:hanging="0" w:start="0" w:end="0"/>
        <w:jc w:val="start"/>
        <w:rPr>
          <w:sz w:val="20"/>
        </w:rPr>
      </w:pPr>
      <w:r>
        <w:rPr>
          <w:sz w:val="20"/>
        </w:rPr>
      </w:r>
    </w:p>
    <w:p>
      <w:pPr>
        <w:pStyle w:val="Normal"/>
        <w:bidi w:val="0"/>
        <w:ind w:hanging="0" w:start="0" w:end="0"/>
        <w:jc w:val="start"/>
        <w:rPr>
          <w:sz w:val="20"/>
        </w:rPr>
      </w:pPr>
      <w:r>
        <w:rPr>
          <w:strike/>
          <w:sz w:val="20"/>
        </w:rPr>
        <w:t>10</w:t>
      </w:r>
    </w:p>
    <w:p>
      <w:pPr>
        <w:pStyle w:val="Normal"/>
        <w:bidi w:val="0"/>
        <w:ind w:hanging="0" w:start="0" w:end="0"/>
        <w:jc w:val="start"/>
        <w:rPr>
          <w:b/>
          <w:sz w:val="20"/>
        </w:rPr>
      </w:pPr>
      <w:r>
        <w:rPr>
          <w:b/>
          <w:sz w:val="20"/>
          <w:u w:val="double"/>
        </w:rPr>
        <w:t>11</w:t>
      </w:r>
      <w:r>
        <w:rPr>
          <w:b/>
          <w:sz w:val="20"/>
        </w:rPr>
        <w:t>.</w:t>
        <w:tab/>
        <w:t>Miscellaneous.</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(a)</w:t>
        <w:tab/>
      </w:r>
      <w:r>
        <w:rPr>
          <w:i/>
          <w:sz w:val="20"/>
        </w:rPr>
        <w:t>Entire Agreement</w:t>
      </w:r>
      <w:r>
        <w:rPr>
          <w:sz w:val="20"/>
        </w:rPr>
        <w:t>.  This NA Master Agreement constitutes the entire agreement and understanding of the parties with respect to its subject matter and supersedes all oral communication and prior writings with respect thereto.</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(b)</w:t>
        <w:tab/>
      </w:r>
      <w:r>
        <w:rPr>
          <w:i/>
          <w:sz w:val="20"/>
        </w:rPr>
        <w:t>Amendments and Waivers</w:t>
      </w:r>
      <w:r>
        <w:rPr>
          <w:sz w:val="20"/>
        </w:rPr>
        <w:t xml:space="preserve">.  No amendment, modification, or waiver in respect of this NA Master Agreement will be effective unless (i) in writing (including a writing evidenced by a facsimile transmission), (ii) executed by each of the parties, and (iii) specifically states that such amendment, modification or waiver is amending, modifying or waiving this NA Master Agreement.  Confirmations of Transactions under any Underlying Master Agreement shall not serve as an amendment </w:t>
      </w:r>
      <w:r>
        <w:rPr>
          <w:b/>
          <w:sz w:val="20"/>
          <w:u w:val="double"/>
        </w:rPr>
        <w:t>for purposes of this Section 10(b)</w:t>
      </w:r>
      <w:r>
        <w:rPr>
          <w:sz w:val="20"/>
        </w:rPr>
        <w: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(c)</w:t>
        <w:tab/>
      </w:r>
      <w:r>
        <w:rPr>
          <w:i/>
          <w:sz w:val="20"/>
        </w:rPr>
        <w:t>Remedies Cumulative</w:t>
      </w:r>
      <w:r>
        <w:rPr>
          <w:sz w:val="20"/>
        </w:rPr>
        <w:t>.  Except as provided in this NA Master Agreement, the rights, powers, remedies and privileges provided in this Agreement are cumulative and not exclusive of any rights, powers, remedies, and privileges provided by law.</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(d)</w:t>
        <w:tab/>
      </w:r>
      <w:r>
        <w:rPr>
          <w:i/>
          <w:sz w:val="20"/>
        </w:rPr>
        <w:t>Counterparts</w:t>
      </w:r>
      <w:r>
        <w:rPr>
          <w:sz w:val="20"/>
        </w:rPr>
        <w:t>.  This NA Master Agreement (and each amendment, modification, and waiver in respect of it) may be executed and delivered in counterparts (including by facsimile transmission), all of which when taken together shall constitute an original.</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(e)</w:t>
        <w:tab/>
      </w:r>
      <w:r>
        <w:rPr>
          <w:i/>
          <w:sz w:val="20"/>
        </w:rPr>
        <w:t>No Waiver of Rights</w:t>
      </w:r>
      <w:r>
        <w:rPr>
          <w:sz w:val="20"/>
        </w:rPr>
        <w:t>.  A failure or delay in exercising any right, power, or privilege in respect of this NA Master Agreement will not be presumed to operate as a waiver, and a single or partial exercise of any right, power, or privilege will not be presumed to preclude any subsequent or further exercise of that right, power, or privilege or the exercise of any other right, power, or privilege.</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(f)</w:t>
        <w:tab/>
      </w:r>
      <w:r>
        <w:rPr>
          <w:i/>
          <w:sz w:val="20"/>
        </w:rPr>
        <w:t>Headings</w:t>
      </w:r>
      <w:r>
        <w:rPr>
          <w:sz w:val="20"/>
        </w:rPr>
        <w:t>.  The headings used in this NA Master Agreement are for convenience of reference only and are not to affect the construction of or to be taken into consideration in interpreting this NA Master Agreement.</w:t>
      </w:r>
    </w:p>
    <w:p>
      <w:pPr>
        <w:pStyle w:val="BodyText2"/>
        <w:numPr>
          <w:ilvl w:val="0"/>
          <w:numId w:val="0"/>
        </w:numPr>
        <w:bidi w:val="0"/>
        <w:ind w:hanging="720" w:start="144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(g)</w:t>
        <w:tab/>
      </w:r>
      <w:r>
        <w:rPr>
          <w:i/>
          <w:sz w:val="20"/>
        </w:rPr>
        <w:t>Not Construed Against Drafter</w:t>
      </w:r>
      <w:r>
        <w:rPr>
          <w:sz w:val="20"/>
        </w:rPr>
        <w:t xml:space="preserve">.  The rule of contract construction that a contract is construed against its drafter shall not apply to this NA Master Agreement, and </w:t>
      </w:r>
      <w:r>
        <w:rPr>
          <w:strike/>
          <w:sz w:val="20"/>
        </w:rPr>
        <w:t>both</w:t>
      </w:r>
      <w:r>
        <w:rPr>
          <w:sz w:val="20"/>
        </w:rPr>
        <w:t xml:space="preserve"> </w:t>
      </w:r>
      <w:r>
        <w:rPr>
          <w:b/>
          <w:sz w:val="20"/>
          <w:u w:val="double"/>
        </w:rPr>
        <w:t>the</w:t>
      </w:r>
      <w:r>
        <w:rPr>
          <w:sz w:val="20"/>
        </w:rPr>
        <w:t xml:space="preserve"> parties waive any right and shall not assert any claim in any proceeding that this NA Master Agreement should be construed against the drafter hereof.</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(h)</w:t>
        <w:tab/>
      </w:r>
      <w:r>
        <w:rPr>
          <w:i/>
          <w:sz w:val="20"/>
        </w:rPr>
        <w:t>Governing Law.</w:t>
      </w:r>
      <w:r>
        <w:rPr>
          <w:sz w:val="20"/>
        </w:rPr>
        <w:t xml:space="preserve">  </w:t>
      </w:r>
      <w:r>
        <w:rPr>
          <w:b/>
          <w:caps/>
          <w:sz w:val="20"/>
        </w:rPr>
        <w:t>This NA MASTER Agreement will be governed by and construed in accordance with the laws of the State of NEW YORK without regard to the conflict of laws principles of ANY OTHER jurisdiction</w:t>
      </w:r>
      <w:r>
        <w:rPr>
          <w:b/>
          <w:sz w:val="20"/>
        </w:rPr>
        <w:t>.</w:t>
      </w:r>
      <w:r>
        <w:rPr>
          <w:sz w:val="20"/>
        </w:rPr>
        <w:t xml:space="preserve">  </w:t>
      </w:r>
    </w:p>
    <w:p>
      <w:pPr>
        <w:pStyle w:val="BodyText2"/>
        <w:numPr>
          <w:ilvl w:val="0"/>
          <w:numId w:val="0"/>
        </w:numPr>
        <w:bidi w:val="0"/>
        <w:ind w:hanging="720" w:start="144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(i)</w:t>
        <w:tab/>
      </w:r>
      <w:r>
        <w:rPr>
          <w:i/>
          <w:sz w:val="20"/>
        </w:rPr>
        <w:t>Confidentiality</w:t>
      </w:r>
      <w:r>
        <w:rPr>
          <w:sz w:val="20"/>
        </w:rPr>
        <w:t>.  The contents of this Agreement, the Underlying Master Agreements and all Transactions thereunder, all other documents relating thereto and any information pertaining thereto made available by any party or its guarantor to the Other Party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party or its guarantor in making such disclosure, or (d) as may be furnished to the disclosing party’s Affiliates, and to each of such person’s auditors, attorneys, advisors, lenders, or prospective purchasers which are required to keep the information that is disclosed in confidence.</w:t>
      </w:r>
    </w:p>
    <w:p>
      <w:pPr>
        <w:pStyle w:val="BodyText2"/>
        <w:numPr>
          <w:ilvl w:val="0"/>
          <w:numId w:val="0"/>
        </w:numPr>
        <w:bidi w:val="0"/>
        <w:ind w:hanging="720" w:start="1440" w:end="0"/>
        <w:outlineLvl w:val="0"/>
        <w:rPr>
          <w:rFonts w:ascii="Times New Roman" w:hAnsi="Times New Roman"/>
          <w:sz w:val="20"/>
        </w:rPr>
      </w:pPr>
      <w:r>
        <w:rPr>
          <w:sz w:val="20"/>
        </w:rPr>
      </w:r>
    </w:p>
    <w:p>
      <w:pPr>
        <w:pStyle w:val="Normal"/>
        <w:tabs>
          <w:tab w:val="clear" w:pos="720"/>
          <w:tab w:val="left" w:pos="1260" w:leader="none"/>
        </w:tabs>
        <w:bidi w:val="0"/>
        <w:ind w:firstLine="720" w:start="0" w:end="0"/>
        <w:jc w:val="both"/>
        <w:rPr>
          <w:sz w:val="20"/>
        </w:rPr>
      </w:pPr>
      <w:r>
        <w:rPr>
          <w:sz w:val="20"/>
        </w:rPr>
        <w:t>(j)</w:t>
        <w:tab/>
      </w:r>
      <w:r>
        <w:rPr>
          <w:i/>
          <w:sz w:val="20"/>
        </w:rPr>
        <w:t>Amendment of Underlying Master Agreements; Severability</w:t>
      </w:r>
      <w:r>
        <w:rPr>
          <w:sz w:val="20"/>
        </w:rPr>
        <w:t xml:space="preserve">.  </w:t>
      </w:r>
    </w:p>
    <w:p>
      <w:pPr>
        <w:pStyle w:val="Normal"/>
        <w:tabs>
          <w:tab w:val="clear" w:pos="720"/>
          <w:tab w:val="left" w:pos="1260" w:leader="none"/>
        </w:tabs>
        <w:bidi w:val="0"/>
        <w:ind w:firstLine="720" w:start="0" w:end="0"/>
        <w:jc w:val="both"/>
        <w:rPr>
          <w:i/>
          <w:i/>
          <w:sz w:val="20"/>
        </w:rPr>
      </w:pPr>
      <w:r>
        <w:rPr>
          <w:i/>
          <w:sz w:val="20"/>
        </w:rPr>
        <w:tab/>
      </w:r>
    </w:p>
    <w:p>
      <w:pPr>
        <w:pStyle w:val="Normal"/>
        <w:tabs>
          <w:tab w:val="clear" w:pos="720"/>
          <w:tab w:val="left" w:pos="1260" w:leader="none"/>
        </w:tabs>
        <w:bidi w:val="0"/>
        <w:ind w:hanging="1440" w:start="2160" w:end="0"/>
        <w:jc w:val="both"/>
        <w:rPr>
          <w:sz w:val="20"/>
        </w:rPr>
      </w:pPr>
      <w:r>
        <w:rPr>
          <w:sz w:val="20"/>
        </w:rPr>
        <w:tab/>
        <w:t xml:space="preserve">(1)  </w:t>
        <w:tab/>
        <w:t xml:space="preserve">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w:t>
      </w:r>
      <w:r>
        <w:rPr>
          <w:b/>
          <w:sz w:val="20"/>
          <w:u w:val="double"/>
        </w:rPr>
        <w:t>NA Master</w:t>
      </w:r>
      <w:r>
        <w:rPr>
          <w:sz w:val="20"/>
        </w:rPr>
        <w:t xml:space="preserve"> Agreement, the Underlying Master Agreements </w:t>
      </w:r>
      <w:r>
        <w:rPr>
          <w:b/>
          <w:sz w:val="20"/>
          <w:u w:val="double"/>
        </w:rPr>
        <w:t>and all Transactions thereunder</w:t>
      </w:r>
      <w:r>
        <w:rPr>
          <w:sz w:val="20"/>
        </w:rPr>
        <w:t xml:space="preserve"> shall remain in full force and effect.  Subject to Section </w:t>
      </w:r>
      <w:r>
        <w:rPr>
          <w:strike/>
          <w:sz w:val="20"/>
        </w:rPr>
        <w:t>10(j)(3)</w:t>
      </w:r>
      <w:r>
        <w:rPr>
          <w:sz w:val="20"/>
        </w:rPr>
        <w:t xml:space="preserve"> </w:t>
      </w:r>
      <w:r>
        <w:rPr>
          <w:b/>
          <w:sz w:val="20"/>
          <w:u w:val="double"/>
        </w:rPr>
        <w:t>11(j)(3)</w:t>
      </w:r>
      <w:r>
        <w:rPr>
          <w:sz w:val="20"/>
        </w:rPr>
        <w:t xml:space="preserve">, in the event any one or more of the provisions contained in this </w:t>
      </w:r>
      <w:r>
        <w:rPr>
          <w:b/>
          <w:sz w:val="20"/>
          <w:u w:val="double"/>
        </w:rPr>
        <w:t>NA Master</w:t>
      </w:r>
      <w:r>
        <w:rPr>
          <w:sz w:val="20"/>
        </w:rPr>
        <w:t xml:space="preserve">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bidi w:val="0"/>
        <w:ind w:firstLine="720" w:start="0" w:end="0"/>
        <w:jc w:val="both"/>
        <w:rPr>
          <w:sz w:val="20"/>
        </w:rPr>
      </w:pPr>
      <w:r>
        <w:rPr>
          <w:sz w:val="20"/>
        </w:rPr>
      </w:r>
    </w:p>
    <w:p>
      <w:pPr>
        <w:pStyle w:val="BodyTextIndent3"/>
        <w:bidi w:val="0"/>
        <w:rPr>
          <w:rFonts w:ascii="Times New Roman" w:hAnsi="Times New Roman"/>
        </w:rPr>
      </w:pPr>
      <w:r>
        <w:rPr/>
        <w:tab/>
        <w:t xml:space="preserve">(2)  </w:t>
        <w:tab/>
        <w:t xml:space="preserve">Each party agrees that if any Underlying Master Agreement does not provide for the determination and payment of a Transaction Termination Amount on the basis of a payment owed by a non-defaulting party to a defaulting party (in addition to a payment owed by a defaulting party to a non-defaulting party), then any such Underlying Master Agreement is hereby amended to provide that a Transaction Termination Amount shall be determined and paid on the basis of a payment owed by a non-defaulting party to a defaulting party (in addition to a payment owed by a defaulting party to a non-defaulting party). </w:t>
      </w:r>
    </w:p>
    <w:p>
      <w:pPr>
        <w:pStyle w:val="Normal"/>
        <w:tabs>
          <w:tab w:val="clear" w:pos="720"/>
          <w:tab w:val="left" w:pos="1260" w:leader="none"/>
        </w:tabs>
        <w:bidi w:val="0"/>
        <w:ind w:firstLine="720" w:start="0" w:end="0"/>
        <w:jc w:val="both"/>
        <w:rPr>
          <w:sz w:val="20"/>
        </w:rPr>
      </w:pPr>
      <w:r>
        <w:rPr>
          <w:sz w:val="20"/>
        </w:rPr>
      </w:r>
    </w:p>
    <w:p>
      <w:pPr>
        <w:pStyle w:val="Normal"/>
        <w:tabs>
          <w:tab w:val="clear" w:pos="720"/>
          <w:tab w:val="left" w:pos="1260" w:leader="none"/>
        </w:tabs>
        <w:bidi w:val="0"/>
        <w:ind w:hanging="1440" w:start="2160" w:end="0"/>
        <w:jc w:val="both"/>
        <w:rPr>
          <w:sz w:val="20"/>
        </w:rPr>
      </w:pPr>
      <w:r>
        <w:rPr>
          <w:sz w:val="20"/>
        </w:rPr>
        <w:tab/>
        <w:t xml:space="preserve">(3)  </w:t>
        <w:tab/>
        <w:t xml:space="preserve">If either of Section 6 or Section 7 is deemed or held to be invalid, illegal, or unenforceable, this </w:t>
      </w:r>
      <w:r>
        <w:rPr>
          <w:b/>
          <w:sz w:val="20"/>
          <w:u w:val="double"/>
        </w:rPr>
        <w:t>NA Master</w:t>
      </w:r>
      <w:r>
        <w:rPr>
          <w:sz w:val="20"/>
        </w:rPr>
        <w:t xml:space="preserve"> Agreement shall be deemed to be null and void </w:t>
      </w:r>
      <w:r>
        <w:rPr>
          <w:b/>
          <w:i/>
          <w:sz w:val="20"/>
          <w:u w:val="double"/>
        </w:rPr>
        <w:t>ab initio</w:t>
      </w:r>
      <w:r>
        <w:rPr>
          <w:sz w:val="20"/>
        </w:rPr>
        <w:t xml:space="preserve"> in its entirety and without any further force or effect.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trike/>
          <w:sz w:val="20"/>
        </w:rPr>
        <w:t>11</w:t>
      </w:r>
    </w:p>
    <w:p>
      <w:pPr>
        <w:pStyle w:val="BodyText2"/>
        <w:numPr>
          <w:ilvl w:val="0"/>
          <w:numId w:val="0"/>
        </w:numPr>
        <w:bidi w:val="0"/>
        <w:ind w:hanging="0" w:start="0" w:end="0"/>
        <w:outlineLvl w:val="0"/>
        <w:rPr>
          <w:rFonts w:ascii="Times New Roman" w:hAnsi="Times New Roman"/>
          <w:b/>
          <w:sz w:val="20"/>
        </w:rPr>
      </w:pPr>
      <w:r>
        <w:rPr>
          <w:b/>
          <w:sz w:val="20"/>
          <w:u w:val="double"/>
        </w:rPr>
        <w:t>12</w:t>
      </w:r>
      <w:r>
        <w:rPr>
          <w:b/>
          <w:sz w:val="20"/>
        </w:rPr>
        <w:t>.</w:t>
        <w:tab/>
        <w:t>Arbitration.</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firstLine="720" w:start="0" w:end="0"/>
        <w:outlineLvl w:val="0"/>
        <w:rPr>
          <w:rFonts w:ascii="Times New Roman" w:hAnsi="Times New Roman"/>
          <w:sz w:val="20"/>
        </w:rPr>
      </w:pPr>
      <w:r>
        <w:rPr>
          <w:sz w:val="20"/>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b/>
          <w:i/>
          <w:sz w:val="20"/>
        </w:rPr>
        <w:t>Claims</w:t>
      </w:r>
      <w:r>
        <w:rPr>
          <w:sz w:val="20"/>
        </w:rPr>
        <w:t>") shall be resolved by binding arbitration.  Arbitration shall be governed by the Federal Arbitration Act (9 U.S.C. Section 1, et seq.) and conducted in accordance with the Commercial Arbitration Rules of the American Arbitration Association (the “</w:t>
      </w:r>
      <w:r>
        <w:rPr>
          <w:b/>
          <w:i/>
          <w:sz w:val="20"/>
        </w:rPr>
        <w:t>AAA</w:t>
      </w:r>
      <w:r>
        <w:rPr>
          <w:sz w:val="20"/>
        </w:rPr>
        <w:t>”).  The validity, construction, and interpretation of this agreement to arbitrate, and all procedural aspects of the arbitration conducted pursuant hereto shall be decided by a majority of the arbitrators.  In deciding the substance of the Claims, the arbitrators shall refer to the governing law and a decision of a majority of the arbitrators shall be final and binding on the parties.  It is agreed that the arbitrators shall have no authority to award treble, exemplary, or punitive damages of any type under any circumstances whether or not such damages may be available under U.S. state, U.S. federal, or Canadian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the Party Designate for the Enron Group and the Party Designate for the BP Group shall each select one arbitrator.  The two arbitrators shall select a third arbitrator within sixty days of the notice of initiation of the arbitration procedure, or if such arbitrators fail to select a third arbitrator within such time period, the AAA shall select the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Enron Group-appointed arbitrator and the BP Group-appointed arbitrator are not required to be neutral, and it shall not be grounds for removal of either of such appointed arbitrators or for vacating the arbitrators’ award that either of such arbitrators has past or present minimal relationships with any party.  The award of the arbitrators may be entered and enforced in any court having jurisdiction over the parties.  To the fullest extent permitted by law, any arbitration proceeding and the arbitrators' award shall be maintained in confidence by the parties.</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trike/>
          <w:sz w:val="20"/>
        </w:rPr>
        <w:t>12</w:t>
      </w:r>
    </w:p>
    <w:p>
      <w:pPr>
        <w:pStyle w:val="Normal"/>
        <w:bidi w:val="0"/>
        <w:ind w:hanging="0" w:start="0" w:end="0"/>
        <w:jc w:val="start"/>
        <w:rPr>
          <w:b/>
          <w:sz w:val="20"/>
        </w:rPr>
      </w:pPr>
      <w:r>
        <w:rPr>
          <w:b/>
          <w:sz w:val="20"/>
          <w:u w:val="double"/>
        </w:rPr>
        <w:t>13</w:t>
      </w:r>
      <w:r>
        <w:rPr>
          <w:b/>
          <w:sz w:val="20"/>
        </w:rPr>
        <w:t>.</w:t>
        <w:tab/>
        <w:t>Definitions.</w:t>
      </w:r>
    </w:p>
    <w:p>
      <w:pPr>
        <w:pStyle w:val="BodyText2"/>
        <w:numPr>
          <w:ilvl w:val="0"/>
          <w:numId w:val="0"/>
        </w:numPr>
        <w:bidi w:val="0"/>
        <w:ind w:hanging="0" w:start="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 xml:space="preserve">As used in this </w:t>
      </w:r>
      <w:r>
        <w:rPr>
          <w:b/>
          <w:sz w:val="20"/>
          <w:u w:val="double"/>
        </w:rPr>
        <w:t>NA Master</w:t>
      </w:r>
      <w:r>
        <w:rPr>
          <w:sz w:val="20"/>
        </w:rPr>
        <w:t xml:space="preserve"> Agreement: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AAA</w:t>
      </w:r>
      <w:r>
        <w:rPr>
          <w:sz w:val="20"/>
        </w:rPr>
        <w:t xml:space="preserve">” has the meaning specified in Section </w:t>
      </w:r>
      <w:r>
        <w:rPr>
          <w:strike/>
          <w:sz w:val="20"/>
        </w:rPr>
        <w:t>11</w:t>
      </w:r>
      <w:r>
        <w:rPr>
          <w:sz w:val="20"/>
        </w:rPr>
        <w:t xml:space="preserve"> </w:t>
      </w:r>
      <w:r>
        <w:rPr>
          <w:b/>
          <w:sz w:val="20"/>
          <w:u w:val="double"/>
        </w:rPr>
        <w:t>12</w:t>
      </w:r>
      <w:r>
        <w:rPr>
          <w:sz w:val="20"/>
        </w:rPr>
        <w: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Affiliate</w:t>
      </w:r>
      <w:r>
        <w:rPr>
          <w:sz w:val="20"/>
        </w:rPr>
        <w:t>” means in relation to any party, any entity controlled, directly or indirectly, by the party, any entity that controls, directly or indirectly, the party, or any entity directly or indirectly under common control with the party.  The terms “controlled,” “controls” and “under common control with” mean ownership of fifty percent (50%) or more of the stock, partnership, membership or other interests with voting power of such entity or party.</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Aggregate</w:t>
      </w:r>
      <w:r>
        <w:rPr>
          <w:sz w:val="20"/>
        </w:rPr>
        <w:t xml:space="preserve"> </w:t>
      </w:r>
      <w:r>
        <w:rPr>
          <w:b/>
          <w:i/>
          <w:sz w:val="20"/>
        </w:rPr>
        <w:t>Termination Payment</w:t>
      </w:r>
      <w:r>
        <w:rPr>
          <w:sz w:val="20"/>
        </w:rPr>
        <w:t>” has the meaning specified in Section 6(d).</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Business Day</w:t>
      </w:r>
      <w:r>
        <w:rPr>
          <w:sz w:val="20"/>
        </w:rPr>
        <w:t>” means a day on which national banks or their non-U.S. equivalent are open for business in Houston, Texas, but shall exclude any Saturday or Sunday.</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b/>
          <w:sz w:val="20"/>
          <w:u w:val="double"/>
        </w:rPr>
      </w:pPr>
      <w:r>
        <w:rPr>
          <w:sz w:val="20"/>
        </w:rPr>
        <w:t>“</w:t>
      </w:r>
      <w:r>
        <w:rPr>
          <w:b/>
          <w:i/>
          <w:sz w:val="20"/>
        </w:rPr>
        <w:t>Claims</w:t>
      </w:r>
      <w:r>
        <w:rPr>
          <w:sz w:val="20"/>
        </w:rPr>
        <w:t xml:space="preserve">” has the meaning specified in Section </w:t>
      </w:r>
      <w:r>
        <w:rPr>
          <w:strike/>
          <w:sz w:val="20"/>
        </w:rPr>
        <w:t>11.</w:t>
      </w:r>
      <w:r>
        <w:rPr>
          <w:sz w:val="20"/>
        </w:rPr>
        <w:t xml:space="preserve"> </w:t>
      </w:r>
      <w:r>
        <w:rPr>
          <w:b/>
          <w:sz w:val="20"/>
          <w:u w:val="double"/>
        </w:rPr>
        <w:t>12.</w:t>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sz w:val="20"/>
        </w:rPr>
      </w:pPr>
      <w:r>
        <w:rPr>
          <w:b/>
          <w:sz w:val="20"/>
          <w:u w:val="double"/>
        </w:rPr>
        <w:t>“</w:t>
      </w:r>
      <w:r>
        <w:rPr>
          <w:b/>
          <w:i/>
          <w:sz w:val="20"/>
          <w:u w:val="double"/>
        </w:rPr>
        <w:t>Code</w:t>
      </w:r>
      <w:r>
        <w:rPr>
          <w:b/>
          <w:sz w:val="20"/>
          <w:u w:val="double"/>
        </w:rPr>
        <w:t>” means, the United States Bankruptcy Code, 11 U.S.C. Sections 101-1330, as amended.</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consent</w:t>
      </w:r>
      <w:r>
        <w:rPr>
          <w:sz w:val="20"/>
        </w:rPr>
        <w:t>” means and includes consent, approval, action, authorization, exemption, notice, filing, registration, or exchange control consent.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Defaulting Party</w:t>
      </w:r>
      <w:r>
        <w:rPr>
          <w:sz w:val="20"/>
        </w:rPr>
        <w:t>” means, where the party in respect of which an Event of Default has occurred is a BP Party, the BP Group collectively, and where the party in respect of which an Event of Default has occurred is an Enron Party, the Enron Group collectively.</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Early Termination Date</w:t>
      </w:r>
      <w:r>
        <w:rPr>
          <w:sz w:val="20"/>
        </w:rPr>
        <w:t>” means the date determined in accordance with Section 6(a).</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b/>
          <w:sz w:val="20"/>
          <w:u w:val="double"/>
        </w:rPr>
        <w:t>“</w:t>
      </w:r>
      <w:r>
        <w:rPr>
          <w:b/>
          <w:i/>
          <w:sz w:val="20"/>
          <w:u w:val="double"/>
        </w:rPr>
        <w:t>EFC Party</w:t>
      </w:r>
      <w:r>
        <w:rPr>
          <w:b/>
          <w:sz w:val="20"/>
          <w:u w:val="double"/>
        </w:rPr>
        <w:t>” has the meaning specified in Section 3(a)(vii).</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Event of Default</w:t>
      </w:r>
      <w:r>
        <w:rPr>
          <w:sz w:val="20"/>
        </w:rPr>
        <w:t>” has the meaning specified in Section 5.</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Interest Rate</w:t>
      </w:r>
      <w:r>
        <w:rPr>
          <w:sz w:val="20"/>
        </w:rPr>
        <w:t xml:space="preserve">” means (a) with respect to a Non-Defaulting Party, a per annum rate of interest equal to “Prime Rate” as may from time to time be published in </w:t>
      </w:r>
      <w:r>
        <w:rPr>
          <w:i/>
          <w:sz w:val="20"/>
        </w:rPr>
        <w:t>The Wall Street Journal</w:t>
      </w:r>
      <w:r>
        <w:rPr>
          <w:sz w:val="20"/>
        </w:rPr>
        <w:t xml:space="preserve"> under the table “Money Rates” and (b) with respect to a Defaulting Party, a per annum rate of interest equal to two percent (2%) over such “Prime Rate”; </w:t>
      </w:r>
      <w:r>
        <w:rPr>
          <w:sz w:val="20"/>
          <w:u w:val="single"/>
        </w:rPr>
        <w:t>provided, however</w:t>
      </w:r>
      <w:r>
        <w:rPr>
          <w:sz w:val="20"/>
        </w:rPr>
        <w:t>, in either case, the Interest Rate may never exceed the maximum lawful rate under applicable law.</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Non-Defaulting Party</w:t>
      </w:r>
      <w:r>
        <w:rPr>
          <w:sz w:val="20"/>
        </w:rPr>
        <w:t>” means, where the Defaulting Party is the BP Group, the Enron Group collectively, and where the Defaulting Party is the Enron Group, the BP Group collectively.</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Other Party</w:t>
      </w:r>
      <w:r>
        <w:rPr>
          <w:sz w:val="20"/>
        </w:rPr>
        <w:t>” means, in respect of any BP Party, the parties comprising the Enron Group, and in respect of any Enron Party, the parties comprising the BP Group.</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Party Designate</w:t>
      </w:r>
      <w:r>
        <w:rPr>
          <w:sz w:val="20"/>
        </w:rPr>
        <w:t>” means, in respect of the BP Group or any BP Party, BP Corporation North America Inc., and in respect of the Enron Group or any Enron Party, Enron North America Corp.</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b/>
          <w:sz w:val="20"/>
          <w:u w:val="double"/>
        </w:rPr>
        <w:t>“</w:t>
      </w:r>
      <w:r>
        <w:rPr>
          <w:b/>
          <w:i/>
          <w:sz w:val="20"/>
          <w:u w:val="double"/>
        </w:rPr>
        <w:t>Swap Agreement Party</w:t>
      </w:r>
      <w:r>
        <w:rPr>
          <w:b/>
          <w:sz w:val="20"/>
          <w:u w:val="double"/>
        </w:rPr>
        <w:t>” has the meaning specified in Section 3(a)(vii).</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Transaction Termination Amounts</w:t>
      </w:r>
      <w:r>
        <w:rPr>
          <w:sz w:val="20"/>
        </w:rPr>
        <w:t>” has the meaning specified in Section 6(d).</w:t>
      </w:r>
      <w:r>
        <w:br w:type="page"/>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IN WITNESS WHEREOF, the parties have executed this NA Master Agreement on the respective dates specified below to be effective on and after the Effective Date.</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b/>
          <w:sz w:val="20"/>
        </w:rPr>
        <w:t>BP Party</w:t>
      </w:r>
      <w:r>
        <w:rPr>
          <w:sz w:val="20"/>
        </w:rPr>
        <w:t>:</w:t>
        <w:tab/>
        <w:tab/>
        <w:tab/>
        <w:tab/>
        <w:tab/>
        <w:tab/>
      </w:r>
      <w:r>
        <w:rPr>
          <w:b/>
          <w:sz w:val="20"/>
        </w:rPr>
        <w:t>Enron Party</w:t>
      </w:r>
      <w:r>
        <w:rPr>
          <w:sz w:val="20"/>
        </w:rPr>
        <w: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trike/>
          <w:sz w:val="20"/>
        </w:rPr>
        <w:t>[BP ENTITY] [ENRON ENTITY]</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b/>
          <w:sz w:val="20"/>
          <w:u w:val="double"/>
        </w:rPr>
        <w:t>BP CORPORATION NORTH AMERICA INC.</w:t>
      </w:r>
      <w:r>
        <w:rPr>
          <w:sz w:val="20"/>
        </w:rPr>
        <w:tab/>
        <w:tab/>
      </w:r>
      <w:r>
        <w:rPr>
          <w:b/>
          <w:sz w:val="20"/>
          <w:u w:val="double"/>
        </w:rPr>
        <w:t>ENRON NORTH AMERICA CORP.</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By:</w:t>
      </w:r>
      <w:r>
        <w:rPr>
          <w:sz w:val="20"/>
          <w:u w:val="single"/>
        </w:rPr>
        <w:tab/>
        <w:tab/>
        <w:tab/>
        <w:tab/>
        <w:tab/>
      </w:r>
      <w:r>
        <w:rPr>
          <w:sz w:val="20"/>
        </w:rPr>
        <w:tab/>
        <w:tab/>
        <w:t>By:</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Name:</w:t>
      </w:r>
      <w:r>
        <w:rPr>
          <w:sz w:val="20"/>
          <w:u w:val="single"/>
        </w:rPr>
        <w:tab/>
        <w:tab/>
        <w:tab/>
        <w:tab/>
        <w:tab/>
      </w:r>
      <w:r>
        <w:rPr>
          <w:sz w:val="20"/>
        </w:rPr>
        <w:tab/>
        <w:tab/>
        <w:t>Name: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Title:</w:t>
      </w:r>
      <w:r>
        <w:rPr>
          <w:sz w:val="20"/>
          <w:u w:val="single"/>
        </w:rPr>
        <w:tab/>
        <w:tab/>
        <w:tab/>
        <w:tab/>
        <w:tab/>
      </w:r>
      <w:r>
        <w:rPr>
          <w:sz w:val="20"/>
        </w:rPr>
        <w:tab/>
        <w:tab/>
        <w:t>Title: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Date:</w:t>
      </w:r>
      <w:r>
        <w:rPr>
          <w:sz w:val="20"/>
          <w:u w:val="single"/>
        </w:rPr>
        <w:tab/>
        <w:tab/>
        <w:tab/>
        <w:tab/>
        <w:tab/>
      </w:r>
      <w:r>
        <w:rPr>
          <w:sz w:val="20"/>
        </w:rPr>
        <w:tab/>
        <w:tab/>
        <w:t>Date: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b/>
          <w:sz w:val="20"/>
          <w:u w:val="double"/>
        </w:rPr>
      </w:pPr>
      <w:r>
        <w:rPr>
          <w:b/>
          <w:sz w:val="20"/>
          <w:u w:val="double"/>
        </w:rPr>
        <w:t>BP ENERGY COMPANY</w:t>
      </w:r>
      <w:r>
        <w:rPr>
          <w:sz w:val="20"/>
        </w:rPr>
        <w:tab/>
        <w:tab/>
        <w:tab/>
        <w:tab/>
        <w:tab/>
      </w:r>
      <w:r>
        <w:rPr>
          <w:b/>
          <w:sz w:val="20"/>
          <w:u w:val="double"/>
        </w:rPr>
        <w:t>ENRON POWER MARKETING INC.</w:t>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By:</w:t>
      </w:r>
      <w:r>
        <w:rPr>
          <w:sz w:val="20"/>
          <w:u w:val="single"/>
        </w:rPr>
        <w:tab/>
        <w:tab/>
        <w:tab/>
        <w:tab/>
        <w:tab/>
      </w:r>
      <w:r>
        <w:rPr>
          <w:sz w:val="20"/>
        </w:rPr>
        <w:tab/>
        <w:tab/>
      </w:r>
      <w:r>
        <w:rPr>
          <w:b/>
          <w:sz w:val="20"/>
          <w:u w:val="double"/>
        </w:rPr>
        <w:t>By:</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Name:</w:t>
      </w:r>
      <w:r>
        <w:rPr>
          <w:sz w:val="20"/>
          <w:u w:val="single"/>
        </w:rPr>
        <w:tab/>
        <w:tab/>
        <w:tab/>
        <w:tab/>
        <w:tab/>
      </w:r>
      <w:r>
        <w:rPr>
          <w:sz w:val="20"/>
        </w:rPr>
        <w:tab/>
        <w:tab/>
      </w:r>
      <w:r>
        <w:rPr>
          <w:b/>
          <w:sz w:val="20"/>
          <w:u w:val="double"/>
        </w:rPr>
        <w:t>Name: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Title:</w:t>
      </w:r>
      <w:r>
        <w:rPr>
          <w:sz w:val="20"/>
          <w:u w:val="single"/>
        </w:rPr>
        <w:tab/>
        <w:tab/>
        <w:tab/>
        <w:tab/>
        <w:tab/>
      </w:r>
      <w:r>
        <w:rPr>
          <w:sz w:val="20"/>
        </w:rPr>
        <w:tab/>
        <w:tab/>
      </w:r>
      <w:r>
        <w:rPr>
          <w:b/>
          <w:sz w:val="20"/>
          <w:u w:val="double"/>
        </w:rPr>
        <w:t>Title: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Date:</w:t>
      </w:r>
      <w:r>
        <w:rPr>
          <w:sz w:val="20"/>
          <w:u w:val="single"/>
        </w:rPr>
        <w:tab/>
        <w:tab/>
        <w:tab/>
        <w:tab/>
        <w:tab/>
      </w:r>
      <w:r>
        <w:rPr>
          <w:sz w:val="20"/>
        </w:rPr>
        <w:tab/>
        <w:tab/>
      </w:r>
      <w:r>
        <w:rPr>
          <w:b/>
          <w:sz w:val="20"/>
          <w:u w:val="double"/>
        </w:rPr>
        <w:t>Date: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VASTAR RESOURCES, INC.</w:t>
      </w:r>
      <w:r>
        <w:rPr>
          <w:sz w:val="20"/>
        </w:rPr>
        <w:tab/>
        <w:tab/>
        <w:tab/>
        <w:tab/>
      </w:r>
      <w:r>
        <w:rPr>
          <w:b/>
          <w:sz w:val="20"/>
          <w:u w:val="double"/>
        </w:rPr>
        <w:t>ENRON CANADA CORP.</w:t>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By:</w:t>
      </w:r>
      <w:r>
        <w:rPr>
          <w:sz w:val="20"/>
        </w:rPr>
        <w:tab/>
      </w:r>
      <w:r>
        <w:rPr>
          <w:b/>
          <w:sz w:val="20"/>
          <w:u w:val="double"/>
        </w:rPr>
        <w:t>BP Energy Company, as Agent</w:t>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By:</w:t>
      </w:r>
      <w:r>
        <w:rPr>
          <w:sz w:val="20"/>
          <w:u w:val="single"/>
        </w:rPr>
        <w:tab/>
        <w:tab/>
        <w:tab/>
        <w:tab/>
        <w:tab/>
      </w:r>
      <w:r>
        <w:rPr>
          <w:sz w:val="20"/>
        </w:rPr>
        <w:tab/>
        <w:tab/>
      </w:r>
      <w:r>
        <w:rPr>
          <w:b/>
          <w:sz w:val="20"/>
          <w:u w:val="double"/>
        </w:rPr>
        <w:t>By:</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Name:</w:t>
      </w:r>
      <w:r>
        <w:rPr>
          <w:sz w:val="20"/>
          <w:u w:val="single"/>
        </w:rPr>
        <w:tab/>
        <w:tab/>
        <w:tab/>
        <w:tab/>
        <w:tab/>
      </w:r>
      <w:r>
        <w:rPr>
          <w:sz w:val="20"/>
        </w:rPr>
        <w:tab/>
        <w:tab/>
      </w:r>
      <w:r>
        <w:rPr>
          <w:b/>
          <w:sz w:val="20"/>
          <w:u w:val="double"/>
        </w:rPr>
        <w:t>Name: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Title:</w:t>
      </w:r>
      <w:r>
        <w:rPr>
          <w:sz w:val="20"/>
          <w:u w:val="single"/>
        </w:rPr>
        <w:tab/>
        <w:tab/>
        <w:tab/>
        <w:tab/>
        <w:tab/>
      </w:r>
      <w:r>
        <w:rPr>
          <w:sz w:val="20"/>
        </w:rPr>
        <w:tab/>
        <w:tab/>
      </w:r>
      <w:r>
        <w:rPr>
          <w:b/>
          <w:sz w:val="20"/>
          <w:u w:val="double"/>
        </w:rPr>
        <w:t>Title: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Date:</w:t>
      </w:r>
      <w:r>
        <w:rPr>
          <w:sz w:val="20"/>
          <w:u w:val="single"/>
        </w:rPr>
        <w:tab/>
        <w:tab/>
        <w:tab/>
        <w:tab/>
        <w:tab/>
      </w:r>
      <w:r>
        <w:rPr>
          <w:sz w:val="20"/>
        </w:rPr>
        <w:tab/>
        <w:tab/>
      </w:r>
      <w:r>
        <w:rPr>
          <w:b/>
          <w:sz w:val="20"/>
          <w:u w:val="double"/>
        </w:rPr>
        <w:t>Date: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BP CANADA ENERGY COMPANY</w:t>
      </w:r>
      <w:r>
        <w:rPr>
          <w:sz w:val="20"/>
        </w:rPr>
        <w:tab/>
        <w:tab/>
        <w:tab/>
      </w:r>
      <w:r>
        <w:rPr>
          <w:b/>
          <w:sz w:val="20"/>
          <w:u w:val="double"/>
        </w:rPr>
        <w:t>ENRON ENERGY SERVICES, INC.</w:t>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By:</w:t>
      </w:r>
      <w:r>
        <w:rPr>
          <w:sz w:val="20"/>
          <w:u w:val="single"/>
        </w:rPr>
        <w:tab/>
        <w:tab/>
        <w:tab/>
        <w:tab/>
        <w:tab/>
      </w:r>
      <w:r>
        <w:rPr>
          <w:sz w:val="20"/>
        </w:rPr>
        <w:tab/>
        <w:tab/>
      </w:r>
      <w:r>
        <w:rPr>
          <w:b/>
          <w:sz w:val="20"/>
          <w:u w:val="double"/>
        </w:rPr>
        <w:t>By:</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Name:</w:t>
      </w:r>
      <w:r>
        <w:rPr>
          <w:sz w:val="20"/>
          <w:u w:val="single"/>
        </w:rPr>
        <w:tab/>
        <w:tab/>
        <w:tab/>
        <w:tab/>
        <w:tab/>
      </w:r>
      <w:r>
        <w:rPr>
          <w:sz w:val="20"/>
        </w:rPr>
        <w:tab/>
        <w:tab/>
      </w:r>
      <w:r>
        <w:rPr>
          <w:b/>
          <w:sz w:val="20"/>
          <w:u w:val="double"/>
        </w:rPr>
        <w:t>Name: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Title:</w:t>
      </w:r>
      <w:r>
        <w:rPr>
          <w:sz w:val="20"/>
          <w:u w:val="single"/>
        </w:rPr>
        <w:tab/>
        <w:tab/>
        <w:tab/>
        <w:tab/>
        <w:tab/>
      </w:r>
      <w:r>
        <w:rPr>
          <w:sz w:val="20"/>
        </w:rPr>
        <w:tab/>
        <w:tab/>
      </w:r>
      <w:r>
        <w:rPr>
          <w:b/>
          <w:sz w:val="20"/>
          <w:u w:val="double"/>
        </w:rPr>
        <w:t>Title: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Date:</w:t>
      </w:r>
      <w:r>
        <w:rPr>
          <w:sz w:val="20"/>
          <w:u w:val="single"/>
        </w:rPr>
        <w:tab/>
        <w:tab/>
        <w:tab/>
        <w:tab/>
        <w:tab/>
      </w:r>
      <w:r>
        <w:rPr>
          <w:sz w:val="20"/>
        </w:rPr>
        <w:tab/>
        <w:tab/>
      </w:r>
      <w:r>
        <w:rPr>
          <w:b/>
          <w:sz w:val="20"/>
          <w:u w:val="double"/>
        </w:rPr>
        <w:t>Date: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BP CANADA ENERGY MARKETING CORP.</w:t>
      </w:r>
      <w:r>
        <w:rPr>
          <w:sz w:val="20"/>
        </w:rPr>
        <w:tab/>
        <w:tab/>
      </w:r>
      <w:r>
        <w:rPr>
          <w:b/>
          <w:sz w:val="20"/>
          <w:u w:val="double"/>
        </w:rPr>
        <w:t>ENRON RESERVE ACQUISITION CORP.</w:t>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By:</w:t>
      </w:r>
      <w:r>
        <w:rPr>
          <w:sz w:val="20"/>
          <w:u w:val="single"/>
        </w:rPr>
        <w:tab/>
        <w:tab/>
        <w:tab/>
        <w:tab/>
        <w:tab/>
      </w:r>
      <w:r>
        <w:rPr>
          <w:sz w:val="20"/>
        </w:rPr>
        <w:tab/>
        <w:tab/>
      </w:r>
      <w:r>
        <w:rPr>
          <w:b/>
          <w:sz w:val="20"/>
          <w:u w:val="double"/>
        </w:rPr>
        <w:t>By:</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Name:</w:t>
      </w:r>
      <w:r>
        <w:rPr>
          <w:sz w:val="20"/>
          <w:u w:val="single"/>
        </w:rPr>
        <w:tab/>
        <w:tab/>
        <w:tab/>
        <w:tab/>
        <w:tab/>
      </w:r>
      <w:r>
        <w:rPr>
          <w:sz w:val="20"/>
        </w:rPr>
        <w:tab/>
        <w:tab/>
      </w:r>
      <w:r>
        <w:rPr>
          <w:b/>
          <w:sz w:val="20"/>
          <w:u w:val="double"/>
        </w:rPr>
        <w:t>Name: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Title:</w:t>
      </w:r>
      <w:r>
        <w:rPr>
          <w:sz w:val="20"/>
          <w:u w:val="single"/>
        </w:rPr>
        <w:tab/>
        <w:tab/>
        <w:tab/>
        <w:tab/>
        <w:tab/>
      </w:r>
      <w:r>
        <w:rPr>
          <w:sz w:val="20"/>
        </w:rPr>
        <w:tab/>
        <w:tab/>
      </w:r>
      <w:r>
        <w:rPr>
          <w:b/>
          <w:sz w:val="20"/>
          <w:u w:val="double"/>
        </w:rPr>
        <w:t>Title: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Date:</w:t>
      </w:r>
      <w:r>
        <w:rPr>
          <w:sz w:val="20"/>
          <w:u w:val="single"/>
        </w:rPr>
        <w:tab/>
        <w:tab/>
        <w:tab/>
        <w:tab/>
        <w:tab/>
      </w:r>
      <w:r>
        <w:rPr>
          <w:sz w:val="20"/>
        </w:rPr>
        <w:tab/>
        <w:tab/>
      </w:r>
      <w:r>
        <w:rPr>
          <w:b/>
          <w:sz w:val="20"/>
          <w:u w:val="double"/>
        </w:rPr>
        <w:t>Date: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CIBOLA ENERGY SERVICES CORPORATION</w:t>
      </w:r>
      <w:r>
        <w:rPr>
          <w:sz w:val="20"/>
        </w:rPr>
        <w:tab/>
        <w:tab/>
      </w:r>
      <w:r>
        <w:rPr>
          <w:b/>
          <w:sz w:val="20"/>
          <w:u w:val="double"/>
        </w:rPr>
        <w:t>ENRON PETROCHEMICALS COMPANY,</w:t>
      </w:r>
    </w:p>
    <w:p>
      <w:pPr>
        <w:pStyle w:val="BodyText2"/>
        <w:numPr>
          <w:ilvl w:val="0"/>
          <w:numId w:val="0"/>
        </w:numPr>
        <w:bidi w:val="0"/>
        <w:ind w:hanging="0" w:start="0" w:end="0"/>
        <w:outlineLvl w:val="0"/>
        <w:rPr>
          <w:rFonts w:ascii="Times New Roman" w:hAnsi="Times New Roman"/>
          <w:b/>
          <w:sz w:val="20"/>
          <w:u w:val="double"/>
        </w:rPr>
      </w:pPr>
      <w:r>
        <w:rPr>
          <w:sz w:val="20"/>
        </w:rPr>
        <w:tab/>
        <w:tab/>
        <w:tab/>
        <w:tab/>
        <w:tab/>
        <w:tab/>
        <w:tab/>
      </w:r>
      <w:r>
        <w:rPr>
          <w:b/>
          <w:sz w:val="20"/>
          <w:u w:val="double"/>
        </w:rPr>
        <w:t>a division of Enron Liquid Fuels, Inc.</w:t>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By:</w:t>
      </w:r>
      <w:r>
        <w:rPr>
          <w:sz w:val="20"/>
          <w:u w:val="single"/>
        </w:rPr>
        <w:tab/>
        <w:tab/>
        <w:tab/>
        <w:tab/>
        <w:tab/>
      </w:r>
      <w:r>
        <w:rPr>
          <w:sz w:val="20"/>
        </w:rPr>
        <w:tab/>
        <w:tab/>
      </w:r>
      <w:r>
        <w:rPr>
          <w:b/>
          <w:sz w:val="20"/>
          <w:u w:val="double"/>
        </w:rPr>
        <w:t>By:</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Name:</w:t>
      </w:r>
      <w:r>
        <w:rPr>
          <w:sz w:val="20"/>
          <w:u w:val="single"/>
        </w:rPr>
        <w:tab/>
        <w:tab/>
        <w:tab/>
        <w:tab/>
        <w:tab/>
      </w:r>
      <w:r>
        <w:rPr>
          <w:sz w:val="20"/>
        </w:rPr>
        <w:tab/>
        <w:tab/>
      </w:r>
      <w:r>
        <w:rPr>
          <w:b/>
          <w:sz w:val="20"/>
          <w:u w:val="double"/>
        </w:rPr>
        <w:t>Name: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Title:</w:t>
      </w:r>
      <w:r>
        <w:rPr>
          <w:sz w:val="20"/>
          <w:u w:val="single"/>
        </w:rPr>
        <w:tab/>
        <w:tab/>
        <w:tab/>
        <w:tab/>
        <w:tab/>
      </w:r>
      <w:r>
        <w:rPr>
          <w:sz w:val="20"/>
        </w:rPr>
        <w:tab/>
        <w:tab/>
      </w:r>
      <w:r>
        <w:rPr>
          <w:b/>
          <w:sz w:val="20"/>
          <w:u w:val="double"/>
        </w:rPr>
        <w:t>Title: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Date:</w:t>
      </w:r>
      <w:r>
        <w:rPr>
          <w:sz w:val="20"/>
          <w:u w:val="single"/>
        </w:rPr>
        <w:tab/>
        <w:tab/>
        <w:tab/>
        <w:tab/>
        <w:tab/>
      </w:r>
      <w:r>
        <w:rPr>
          <w:sz w:val="20"/>
        </w:rPr>
        <w:tab/>
        <w:tab/>
      </w:r>
      <w:r>
        <w:rPr>
          <w:b/>
          <w:sz w:val="20"/>
          <w:u w:val="double"/>
        </w:rPr>
        <w:t>Date: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r>
      <w:r>
        <w:br w:type="page"/>
      </w:r>
    </w:p>
    <w:p>
      <w:pPr>
        <w:pStyle w:val="BodyText2"/>
        <w:numPr>
          <w:ilvl w:val="0"/>
          <w:numId w:val="0"/>
        </w:numPr>
        <w:bidi w:val="0"/>
        <w:ind w:hanging="0" w:start="0" w:end="0"/>
        <w:outlineLvl w:val="0"/>
        <w:rPr>
          <w:rFonts w:ascii="Times New Roman" w:hAnsi="Times New Roman"/>
          <w:b/>
          <w:sz w:val="20"/>
          <w:u w:val="double"/>
        </w:rPr>
      </w:pPr>
      <w:r>
        <w:rPr>
          <w:b/>
          <w:sz w:val="20"/>
          <w:u w:val="double"/>
        </w:rPr>
        <w:t>IGI RESOURCES, INC.</w:t>
      </w:r>
      <w:r>
        <w:rPr>
          <w:sz w:val="20"/>
        </w:rPr>
        <w:tab/>
        <w:tab/>
        <w:tab/>
        <w:tab/>
        <w:tab/>
      </w:r>
      <w:r>
        <w:rPr>
          <w:b/>
          <w:sz w:val="20"/>
          <w:u w:val="double"/>
        </w:rPr>
        <w:t>ENA UPSTREAM COMPANY, LLC</w:t>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By:</w:t>
      </w:r>
      <w:r>
        <w:rPr>
          <w:sz w:val="20"/>
          <w:u w:val="single"/>
        </w:rPr>
        <w:tab/>
        <w:tab/>
        <w:tab/>
        <w:tab/>
        <w:tab/>
      </w:r>
      <w:r>
        <w:rPr>
          <w:sz w:val="20"/>
        </w:rPr>
        <w:tab/>
        <w:tab/>
      </w:r>
      <w:r>
        <w:rPr>
          <w:b/>
          <w:sz w:val="20"/>
          <w:u w:val="double"/>
        </w:rPr>
        <w:t>By:</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Name:</w:t>
      </w:r>
      <w:r>
        <w:rPr>
          <w:sz w:val="20"/>
          <w:u w:val="single"/>
        </w:rPr>
        <w:tab/>
        <w:tab/>
        <w:tab/>
        <w:tab/>
        <w:tab/>
      </w:r>
      <w:r>
        <w:rPr>
          <w:sz w:val="20"/>
        </w:rPr>
        <w:tab/>
        <w:tab/>
      </w:r>
      <w:r>
        <w:rPr>
          <w:b/>
          <w:sz w:val="20"/>
          <w:u w:val="double"/>
        </w:rPr>
        <w:t>Name: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Title:</w:t>
      </w:r>
      <w:r>
        <w:rPr>
          <w:sz w:val="20"/>
          <w:u w:val="single"/>
        </w:rPr>
        <w:tab/>
        <w:tab/>
        <w:tab/>
        <w:tab/>
        <w:tab/>
      </w:r>
      <w:r>
        <w:rPr>
          <w:sz w:val="20"/>
        </w:rPr>
        <w:tab/>
        <w:tab/>
      </w:r>
      <w:r>
        <w:rPr>
          <w:b/>
          <w:sz w:val="20"/>
          <w:u w:val="double"/>
        </w:rPr>
        <w:t>Title: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Date:</w:t>
      </w:r>
      <w:r>
        <w:rPr>
          <w:sz w:val="20"/>
          <w:u w:val="single"/>
        </w:rPr>
        <w:tab/>
        <w:tab/>
        <w:tab/>
        <w:tab/>
        <w:tab/>
      </w:r>
      <w:r>
        <w:rPr>
          <w:sz w:val="20"/>
        </w:rPr>
        <w:tab/>
        <w:tab/>
      </w:r>
      <w:r>
        <w:rPr>
          <w:b/>
          <w:sz w:val="20"/>
          <w:u w:val="double"/>
        </w:rPr>
        <w:t>Date: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BP OIL SUPPLY COMPANY</w:t>
      </w:r>
      <w:r>
        <w:rPr>
          <w:sz w:val="20"/>
        </w:rPr>
        <w:tab/>
        <w:tab/>
        <w:tab/>
        <w:tab/>
      </w:r>
      <w:r>
        <w:rPr>
          <w:b/>
          <w:sz w:val="20"/>
          <w:u w:val="double"/>
        </w:rPr>
        <w:t>ENRON LIQUID FUELS, INC.</w:t>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By:</w:t>
      </w:r>
      <w:r>
        <w:rPr>
          <w:sz w:val="20"/>
          <w:u w:val="single"/>
        </w:rPr>
        <w:tab/>
        <w:tab/>
        <w:tab/>
        <w:tab/>
        <w:tab/>
      </w:r>
      <w:r>
        <w:rPr>
          <w:sz w:val="20"/>
        </w:rPr>
        <w:tab/>
        <w:tab/>
      </w:r>
      <w:r>
        <w:rPr>
          <w:b/>
          <w:sz w:val="20"/>
          <w:u w:val="double"/>
        </w:rPr>
        <w:t>By:</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Name:</w:t>
      </w:r>
      <w:r>
        <w:rPr>
          <w:sz w:val="20"/>
          <w:u w:val="single"/>
        </w:rPr>
        <w:tab/>
        <w:tab/>
        <w:tab/>
        <w:tab/>
        <w:tab/>
      </w:r>
      <w:r>
        <w:rPr>
          <w:sz w:val="20"/>
        </w:rPr>
        <w:tab/>
        <w:tab/>
      </w:r>
      <w:r>
        <w:rPr>
          <w:b/>
          <w:sz w:val="20"/>
          <w:u w:val="double"/>
        </w:rPr>
        <w:t>Name: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Title:</w:t>
      </w:r>
      <w:r>
        <w:rPr>
          <w:sz w:val="20"/>
          <w:u w:val="single"/>
        </w:rPr>
        <w:tab/>
        <w:tab/>
        <w:tab/>
        <w:tab/>
        <w:tab/>
      </w:r>
      <w:r>
        <w:rPr>
          <w:sz w:val="20"/>
        </w:rPr>
        <w:tab/>
        <w:tab/>
      </w:r>
      <w:r>
        <w:rPr>
          <w:b/>
          <w:sz w:val="20"/>
          <w:u w:val="double"/>
        </w:rPr>
        <w:t>Title: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Date:</w:t>
      </w:r>
      <w:r>
        <w:rPr>
          <w:sz w:val="20"/>
          <w:u w:val="single"/>
        </w:rPr>
        <w:tab/>
        <w:tab/>
        <w:tab/>
        <w:tab/>
        <w:tab/>
      </w:r>
      <w:r>
        <w:rPr>
          <w:sz w:val="20"/>
        </w:rPr>
        <w:tab/>
        <w:tab/>
      </w:r>
      <w:r>
        <w:rPr>
          <w:b/>
          <w:sz w:val="20"/>
          <w:u w:val="double"/>
        </w:rPr>
        <w:t>Date: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BP PRODUCTS NORTH AMERICA INC.</w:t>
      </w:r>
      <w:r>
        <w:rPr>
          <w:sz w:val="20"/>
        </w:rPr>
        <w:tab/>
        <w:tab/>
        <w:tab/>
      </w:r>
      <w:r>
        <w:rPr>
          <w:b/>
          <w:sz w:val="20"/>
          <w:u w:val="double"/>
        </w:rPr>
        <w:t>[ENRON ENTITY]</w:t>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By:</w:t>
      </w:r>
      <w:r>
        <w:rPr>
          <w:sz w:val="20"/>
          <w:u w:val="single"/>
        </w:rPr>
        <w:tab/>
        <w:tab/>
        <w:tab/>
        <w:tab/>
        <w:tab/>
      </w:r>
      <w:r>
        <w:rPr>
          <w:sz w:val="20"/>
        </w:rPr>
        <w:tab/>
        <w:tab/>
      </w:r>
      <w:r>
        <w:rPr>
          <w:b/>
          <w:sz w:val="20"/>
          <w:u w:val="double"/>
        </w:rPr>
        <w:t>By:</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Name:</w:t>
      </w:r>
      <w:r>
        <w:rPr>
          <w:sz w:val="20"/>
          <w:u w:val="single"/>
        </w:rPr>
        <w:tab/>
        <w:tab/>
        <w:tab/>
        <w:tab/>
        <w:tab/>
      </w:r>
      <w:r>
        <w:rPr>
          <w:sz w:val="20"/>
        </w:rPr>
        <w:tab/>
        <w:tab/>
      </w:r>
      <w:r>
        <w:rPr>
          <w:b/>
          <w:sz w:val="20"/>
          <w:u w:val="double"/>
        </w:rPr>
        <w:t>Name: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Title:</w:t>
      </w:r>
      <w:r>
        <w:rPr>
          <w:sz w:val="20"/>
          <w:u w:val="single"/>
        </w:rPr>
        <w:tab/>
        <w:tab/>
        <w:tab/>
        <w:tab/>
        <w:tab/>
      </w:r>
      <w:r>
        <w:rPr>
          <w:sz w:val="20"/>
        </w:rPr>
        <w:tab/>
        <w:tab/>
      </w:r>
      <w:r>
        <w:rPr>
          <w:b/>
          <w:sz w:val="20"/>
          <w:u w:val="double"/>
        </w:rPr>
        <w:t>Title: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Date:</w:t>
      </w:r>
      <w:r>
        <w:rPr>
          <w:sz w:val="20"/>
          <w:u w:val="single"/>
        </w:rPr>
        <w:tab/>
        <w:tab/>
        <w:tab/>
        <w:tab/>
        <w:tab/>
      </w:r>
      <w:r>
        <w:rPr>
          <w:sz w:val="20"/>
        </w:rPr>
        <w:tab/>
        <w:tab/>
      </w:r>
      <w:r>
        <w:rPr>
          <w:b/>
          <w:sz w:val="20"/>
          <w:u w:val="double"/>
        </w:rPr>
        <w:t>Date: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BP NORTH AMERICAN PETROLEUM,</w:t>
      </w:r>
      <w:r>
        <w:rPr>
          <w:sz w:val="20"/>
        </w:rPr>
        <w:tab/>
        <w:tab/>
        <w:tab/>
      </w:r>
      <w:r>
        <w:rPr>
          <w:b/>
          <w:sz w:val="20"/>
          <w:u w:val="double"/>
        </w:rPr>
        <w:t>[ENRON ENTITY]</w:t>
      </w:r>
    </w:p>
    <w:p>
      <w:pPr>
        <w:pStyle w:val="BodyText2"/>
        <w:numPr>
          <w:ilvl w:val="0"/>
          <w:numId w:val="0"/>
        </w:numPr>
        <w:bidi w:val="0"/>
        <w:ind w:hanging="0" w:start="0" w:end="0"/>
        <w:outlineLvl w:val="0"/>
        <w:rPr>
          <w:rFonts w:ascii="Times New Roman" w:hAnsi="Times New Roman"/>
          <w:b/>
          <w:sz w:val="20"/>
          <w:u w:val="double"/>
        </w:rPr>
      </w:pPr>
      <w:r>
        <w:rPr>
          <w:b/>
          <w:sz w:val="20"/>
          <w:u w:val="double"/>
        </w:rPr>
        <w:t>a division of BP Products North America Inc.</w:t>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By:</w:t>
      </w:r>
      <w:r>
        <w:rPr>
          <w:sz w:val="20"/>
          <w:u w:val="single"/>
        </w:rPr>
        <w:tab/>
        <w:tab/>
        <w:tab/>
        <w:tab/>
        <w:tab/>
      </w:r>
      <w:r>
        <w:rPr>
          <w:sz w:val="20"/>
        </w:rPr>
        <w:tab/>
        <w:tab/>
      </w:r>
      <w:r>
        <w:rPr>
          <w:b/>
          <w:sz w:val="20"/>
          <w:u w:val="double"/>
        </w:rPr>
        <w:t>By:</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Name:</w:t>
      </w:r>
      <w:r>
        <w:rPr>
          <w:sz w:val="20"/>
          <w:u w:val="single"/>
        </w:rPr>
        <w:tab/>
        <w:tab/>
        <w:tab/>
        <w:tab/>
        <w:tab/>
      </w:r>
      <w:r>
        <w:rPr>
          <w:sz w:val="20"/>
        </w:rPr>
        <w:tab/>
        <w:tab/>
      </w:r>
      <w:r>
        <w:rPr>
          <w:b/>
          <w:sz w:val="20"/>
          <w:u w:val="double"/>
        </w:rPr>
        <w:t>Name: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Title:</w:t>
      </w:r>
      <w:r>
        <w:rPr>
          <w:sz w:val="20"/>
          <w:u w:val="single"/>
        </w:rPr>
        <w:tab/>
        <w:tab/>
        <w:tab/>
        <w:tab/>
        <w:tab/>
      </w:r>
      <w:r>
        <w:rPr>
          <w:sz w:val="20"/>
        </w:rPr>
        <w:tab/>
        <w:tab/>
      </w:r>
      <w:r>
        <w:rPr>
          <w:b/>
          <w:sz w:val="20"/>
          <w:u w:val="double"/>
        </w:rPr>
        <w:t>Title: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Date:</w:t>
      </w:r>
      <w:r>
        <w:rPr>
          <w:sz w:val="20"/>
          <w:u w:val="single"/>
        </w:rPr>
        <w:tab/>
        <w:tab/>
        <w:tab/>
        <w:tab/>
        <w:tab/>
      </w:r>
      <w:r>
        <w:rPr>
          <w:sz w:val="20"/>
        </w:rPr>
        <w:tab/>
        <w:tab/>
      </w:r>
      <w:r>
        <w:rPr>
          <w:b/>
          <w:sz w:val="20"/>
          <w:u w:val="double"/>
        </w:rPr>
        <w:t>Date:</w:t>
      </w:r>
      <w:r>
        <w:rPr>
          <w:sz w:val="20"/>
          <w:u w:val="single"/>
        </w:rPr>
        <w:tab/>
        <w:tab/>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BP AMOCO CHEMICAL COMPANY</w:t>
      </w:r>
      <w:r>
        <w:rPr>
          <w:sz w:val="20"/>
        </w:rPr>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By:</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Name: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Title: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Date: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ATLANTIC RICHFIELD COMPANY</w:t>
      </w:r>
      <w:r>
        <w:rPr>
          <w:sz w:val="20"/>
        </w:rPr>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By:</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Name: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Title: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Date: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AMOCO PRODUCTION COMPANY</w:t>
      </w:r>
      <w:r>
        <w:rPr>
          <w:sz w:val="20"/>
        </w:rPr>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By:</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Name: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Title: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sz w:val="20"/>
        </w:rPr>
      </w:pPr>
      <w:r>
        <w:rPr>
          <w:b/>
          <w:sz w:val="20"/>
          <w:u w:val="double"/>
        </w:rPr>
        <w:t>Date: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rPr>
      </w:pPr>
      <w:r>
        <w:rPr/>
      </w:r>
    </w:p>
    <w:p>
      <w:pPr>
        <w:pStyle w:val="BodyText2"/>
        <w:numPr>
          <w:ilvl w:val="0"/>
          <w:numId w:val="0"/>
        </w:numPr>
        <w:bidi w:val="0"/>
        <w:ind w:hanging="0" w:start="0" w:end="0"/>
        <w:outlineLvl w:val="0"/>
        <w:rPr>
          <w:rFonts w:ascii="Times New Roman" w:hAnsi="Times New Roman"/>
        </w:rPr>
      </w:pPr>
      <w:r>
        <w:rPr/>
      </w:r>
    </w:p>
    <w:p>
      <w:pPr>
        <w:pStyle w:val="BodyText2"/>
        <w:numPr>
          <w:ilvl w:val="0"/>
          <w:numId w:val="0"/>
        </w:numPr>
        <w:bidi w:val="0"/>
        <w:ind w:hanging="0" w:start="0" w:end="0"/>
        <w:outlineLvl w:val="0"/>
        <w:rPr>
          <w:rFonts w:ascii="Times New Roman" w:hAnsi="Times New Roman"/>
        </w:rPr>
      </w:pPr>
      <w:r>
        <w:rPr/>
        <w:t>------------------ COMPARISON OF FOOTERS ------------------</w:t>
      </w:r>
    </w:p>
    <w:p>
      <w:pPr>
        <w:pStyle w:val="BodyText2"/>
        <w:numPr>
          <w:ilvl w:val="0"/>
          <w:numId w:val="0"/>
        </w:numPr>
        <w:bidi w:val="0"/>
        <w:ind w:hanging="0" w:start="0" w:end="0"/>
        <w:outlineLvl w:val="0"/>
        <w:rPr>
          <w:rFonts w:ascii="Times New Roman" w:hAnsi="Times New Roman"/>
        </w:rPr>
      </w:pPr>
      <w:r>
        <w:rPr/>
      </w:r>
    </w:p>
    <w:p>
      <w:pPr>
        <w:pStyle w:val="BodyText2"/>
        <w:numPr>
          <w:ilvl w:val="0"/>
          <w:numId w:val="0"/>
        </w:numPr>
        <w:bidi w:val="0"/>
        <w:ind w:hanging="0" w:start="0" w:end="0"/>
        <w:outlineLvl w:val="0"/>
        <w:rPr>
          <w:rFonts w:ascii="Times New Roman" w:hAnsi="Times New Roman"/>
        </w:rPr>
      </w:pPr>
      <w:r>
        <w:rPr/>
        <w:t>-FOOTER 1-</w:t>
      </w:r>
    </w:p>
    <w:p>
      <w:pPr>
        <w:pStyle w:val="BodyText2"/>
        <w:numPr>
          <w:ilvl w:val="0"/>
          <w:numId w:val="0"/>
        </w:numPr>
        <w:bidi w:val="0"/>
        <w:ind w:hanging="0" w:start="0" w:end="0"/>
        <w:outlineLvl w:val="0"/>
        <w:rPr>
          <w:rFonts w:ascii="Times New Roman" w:hAnsi="Times New Roman"/>
        </w:rPr>
      </w:pPr>
      <w:r>
        <w:rPr/>
        <w:t>1</w:t>
      </w:r>
    </w:p>
    <w:p>
      <w:pPr>
        <w:pStyle w:val="BodyText2"/>
        <w:numPr>
          <w:ilvl w:val="0"/>
          <w:numId w:val="0"/>
        </w:numPr>
        <w:bidi w:val="0"/>
        <w:ind w:hanging="0" w:start="0" w:end="0"/>
        <w:outlineLvl w:val="0"/>
        <w:rPr>
          <w:rFonts w:ascii="Times New Roman" w:hAnsi="Times New Roman"/>
        </w:rPr>
      </w:pPr>
      <w:r>
        <w:rPr/>
        <w:t xml:space="preserve">BP </w:t>
      </w:r>
      <w:r>
        <w:rPr>
          <w:strike/>
        </w:rPr>
        <w:t>(10-31</w:t>
      </w:r>
      <w:r>
        <w:rPr>
          <w:b/>
          <w:u w:val="double"/>
        </w:rPr>
        <w:t>(11-1</w:t>
      </w:r>
      <w:r>
        <w:rPr/>
        <w:t>-01)</w:t>
      </w:r>
    </w:p>
    <w:p>
      <w:pPr>
        <w:pStyle w:val="BodyText2"/>
        <w:numPr>
          <w:ilvl w:val="0"/>
          <w:numId w:val="0"/>
        </w:numPr>
        <w:bidi w:val="0"/>
        <w:ind w:hanging="0" w:start="0" w:end="0"/>
        <w:outlineLvl w:val="0"/>
        <w:rPr>
          <w:rFonts w:ascii="Times New Roman" w:hAnsi="Times New Roman"/>
        </w:rPr>
      </w:pPr>
      <w:r>
        <w:rPr/>
        <w:t>N</w:t>
      </w:r>
    </w:p>
    <w:p>
      <w:pPr>
        <w:pStyle w:val="BodyText2"/>
        <w:numPr>
          <w:ilvl w:val="0"/>
          <w:numId w:val="0"/>
        </w:numPr>
        <w:bidi w:val="0"/>
        <w:ind w:hanging="0" w:start="0" w:end="0"/>
        <w:outlineLvl w:val="0"/>
        <w:rPr>
          <w:rFonts w:ascii="Times New Roman" w:hAnsi="Times New Roman"/>
        </w:rPr>
      </w:pPr>
      <w:r>
        <w:rPr/>
      </w:r>
      <w:r>
        <w:br w:type="page"/>
      </w:r>
    </w:p>
    <w:p>
      <w:pPr>
        <w:pStyle w:val="BodyText2"/>
        <w:numPr>
          <w:ilvl w:val="0"/>
          <w:numId w:val="0"/>
        </w:numPr>
        <w:bidi w:val="0"/>
        <w:ind w:hanging="0" w:start="0" w:end="0"/>
        <w:outlineLvl w:val="0"/>
        <w:rPr>
          <w:rFonts w:ascii="Times New Roman" w:hAnsi="Times New Roman"/>
        </w:rPr>
      </w:pPr>
      <w:r>
        <w:rPr/>
        <w:t xml:space="preserve">This redlined draft, generated by CompareRite (TM) - The Instant Redliner, shows the differences between - </w:t>
      </w:r>
    </w:p>
    <w:p>
      <w:pPr>
        <w:pStyle w:val="BodyText2"/>
        <w:numPr>
          <w:ilvl w:val="0"/>
          <w:numId w:val="0"/>
        </w:numPr>
        <w:bidi w:val="0"/>
        <w:ind w:hanging="0" w:start="0" w:end="0"/>
        <w:outlineLvl w:val="0"/>
        <w:rPr>
          <w:rFonts w:ascii="Times New Roman" w:hAnsi="Times New Roman"/>
        </w:rPr>
      </w:pPr>
      <w:r>
        <w:rPr/>
        <w:t>original document   : H:\GLOBAL MASTER AGMT\BP FORM NA MASTER NETTING (10-31-01).DOC</w:t>
      </w:r>
    </w:p>
    <w:p>
      <w:pPr>
        <w:pStyle w:val="BodyText2"/>
        <w:numPr>
          <w:ilvl w:val="0"/>
          <w:numId w:val="0"/>
        </w:numPr>
        <w:bidi w:val="0"/>
        <w:ind w:hanging="0" w:start="0" w:end="0"/>
        <w:outlineLvl w:val="0"/>
        <w:rPr>
          <w:rFonts w:ascii="Times New Roman" w:hAnsi="Times New Roman"/>
        </w:rPr>
      </w:pPr>
      <w:r>
        <w:rPr/>
        <w:t>and revised document: H:\GLOBAL MASTER AGMT\BP FORM NA MASTER NETTING (11-1-01)#1.DOC</w:t>
      </w:r>
    </w:p>
    <w:p>
      <w:pPr>
        <w:pStyle w:val="BodyText2"/>
        <w:numPr>
          <w:ilvl w:val="0"/>
          <w:numId w:val="0"/>
        </w:numPr>
        <w:bidi w:val="0"/>
        <w:ind w:hanging="0" w:start="0" w:end="0"/>
        <w:outlineLvl w:val="0"/>
        <w:rPr>
          <w:rFonts w:ascii="Times New Roman" w:hAnsi="Times New Roman"/>
        </w:rPr>
      </w:pPr>
      <w:r>
        <w:rPr/>
      </w:r>
    </w:p>
    <w:p>
      <w:pPr>
        <w:pStyle w:val="BodyText2"/>
        <w:numPr>
          <w:ilvl w:val="0"/>
          <w:numId w:val="0"/>
        </w:numPr>
        <w:bidi w:val="0"/>
        <w:ind w:hanging="0" w:start="0" w:end="0"/>
        <w:outlineLvl w:val="0"/>
        <w:rPr>
          <w:rFonts w:ascii="Times New Roman" w:hAnsi="Times New Roman"/>
        </w:rPr>
      </w:pPr>
      <w:r>
        <w:rPr/>
        <w:t>CompareRite found   82 change(s) in the text</w:t>
      </w:r>
    </w:p>
    <w:p>
      <w:pPr>
        <w:pStyle w:val="BodyText2"/>
        <w:numPr>
          <w:ilvl w:val="0"/>
          <w:numId w:val="0"/>
        </w:numPr>
        <w:bidi w:val="0"/>
        <w:ind w:hanging="0" w:start="0" w:end="0"/>
        <w:outlineLvl w:val="0"/>
        <w:rPr>
          <w:rFonts w:ascii="Times New Roman" w:hAnsi="Times New Roman"/>
        </w:rPr>
      </w:pPr>
      <w:r>
        <w:rPr/>
        <w:t>CompareRite found    1 change(s) in the notes</w:t>
      </w:r>
    </w:p>
    <w:p>
      <w:pPr>
        <w:pStyle w:val="BodyText2"/>
        <w:numPr>
          <w:ilvl w:val="0"/>
          <w:numId w:val="0"/>
        </w:numPr>
        <w:bidi w:val="0"/>
        <w:ind w:hanging="0" w:start="0" w:end="0"/>
        <w:outlineLvl w:val="0"/>
        <w:rPr>
          <w:rFonts w:ascii="Times New Roman" w:hAnsi="Times New Roman"/>
        </w:rPr>
      </w:pPr>
      <w:r>
        <w:rPr/>
      </w:r>
    </w:p>
    <w:p>
      <w:pPr>
        <w:pStyle w:val="BodyText2"/>
        <w:numPr>
          <w:ilvl w:val="0"/>
          <w:numId w:val="0"/>
        </w:numPr>
        <w:bidi w:val="0"/>
        <w:ind w:hanging="0" w:start="0" w:end="0"/>
        <w:outlineLvl w:val="0"/>
        <w:rPr>
          <w:rFonts w:ascii="Times New Roman" w:hAnsi="Times New Roman"/>
        </w:rPr>
      </w:pPr>
      <w:r>
        <w:rPr/>
        <w:t xml:space="preserve">Deletions appear as Overstrike text </w:t>
      </w:r>
    </w:p>
    <w:p>
      <w:pPr>
        <w:pStyle w:val="BodyText2"/>
        <w:numPr>
          <w:ilvl w:val="0"/>
          <w:numId w:val="0"/>
        </w:numPr>
        <w:bidi w:val="0"/>
        <w:ind w:hanging="0" w:start="0" w:end="0"/>
        <w:outlineLvl w:val="0"/>
        <w:rPr>
          <w:rFonts w:ascii="Times New Roman" w:hAnsi="Times New Roman"/>
        </w:rPr>
      </w:pPr>
      <w:r>
        <w:rPr/>
        <w:t xml:space="preserve">Additions appear as Bold+Dbl Underline text </w:t>
      </w:r>
    </w:p>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Garamond">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t>BP (11-1-01)</w:t>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53035" cy="175260"/>
              <wp:effectExtent l="0" t="0" r="0" b="0"/>
              <wp:wrapTopAndBottom/>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CA" w:eastAsia="en-CA"/>
                            </w:rPr>
                            <w:fldChar w:fldCharType="begin"/>
                          </w:r>
                          <w:r>
                            <w:rPr>
                              <w:rStyle w:val="PageNumber"/>
                              <w:sz w:val="24"/>
                              <w:lang w:val="en-CA" w:eastAsia="en-CA"/>
                            </w:rPr>
                            <w:instrText xml:space="preserve"> PAGE </w:instrText>
                          </w:r>
                          <w:r>
                            <w:rPr>
                              <w:rStyle w:val="PageNumber"/>
                              <w:sz w:val="24"/>
                              <w:lang w:val="en-CA" w:eastAsia="en-CA"/>
                            </w:rPr>
                            <w:fldChar w:fldCharType="separate"/>
                          </w:r>
                          <w:r>
                            <w:rPr>
                              <w:rStyle w:val="PageNumber"/>
                              <w:sz w:val="24"/>
                              <w:lang w:val="en-CA" w:eastAsia="en-CA"/>
                            </w:rPr>
                            <w:t>16</w:t>
                          </w:r>
                          <w:r>
                            <w:rPr>
                              <w:rStyle w:val="PageNumber"/>
                              <w:sz w:val="24"/>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CA" w:eastAsia="en-CA"/>
                      </w:rPr>
                      <w:fldChar w:fldCharType="begin"/>
                    </w:r>
                    <w:r>
                      <w:rPr>
                        <w:rStyle w:val="PageNumber"/>
                        <w:sz w:val="24"/>
                        <w:lang w:val="en-CA" w:eastAsia="en-CA"/>
                      </w:rPr>
                      <w:instrText xml:space="preserve"> PAGE </w:instrText>
                    </w:r>
                    <w:r>
                      <w:rPr>
                        <w:rStyle w:val="PageNumber"/>
                        <w:sz w:val="24"/>
                        <w:lang w:val="en-CA" w:eastAsia="en-CA"/>
                      </w:rPr>
                      <w:fldChar w:fldCharType="separate"/>
                    </w:r>
                    <w:r>
                      <w:rPr>
                        <w:rStyle w:val="PageNumber"/>
                        <w:sz w:val="24"/>
                        <w:lang w:val="en-CA" w:eastAsia="en-CA"/>
                      </w:rPr>
                      <w:t>16</w:t>
                    </w:r>
                    <w:r>
                      <w:rPr>
                        <w:rStyle w:val="PageNumber"/>
                        <w:sz w:val="24"/>
                        <w:lang w:val="en-CA" w:eastAsia="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t>BP (11-1-01)</w:t>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53035" cy="175260"/>
              <wp:effectExtent l="0" t="0" r="0" b="0"/>
              <wp:wrapTopAndBottom/>
              <wp:docPr id="2"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CA" w:eastAsia="en-CA"/>
                            </w:rPr>
                            <w:fldChar w:fldCharType="begin"/>
                          </w:r>
                          <w:r>
                            <w:rPr>
                              <w:rStyle w:val="PageNumber"/>
                              <w:sz w:val="24"/>
                              <w:lang w:val="en-CA" w:eastAsia="en-CA"/>
                            </w:rPr>
                            <w:instrText xml:space="preserve"> PAGE </w:instrText>
                          </w:r>
                          <w:r>
                            <w:rPr>
                              <w:rStyle w:val="PageNumber"/>
                              <w:sz w:val="24"/>
                              <w:lang w:val="en-CA" w:eastAsia="en-CA"/>
                            </w:rPr>
                            <w:fldChar w:fldCharType="separate"/>
                          </w:r>
                          <w:r>
                            <w:rPr>
                              <w:rStyle w:val="PageNumber"/>
                              <w:sz w:val="24"/>
                              <w:lang w:val="en-CA" w:eastAsia="en-CA"/>
                            </w:rPr>
                            <w:t>16</w:t>
                          </w:r>
                          <w:r>
                            <w:rPr>
                              <w:rStyle w:val="PageNumber"/>
                              <w:sz w:val="24"/>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CA" w:eastAsia="en-CA"/>
                      </w:rPr>
                      <w:fldChar w:fldCharType="begin"/>
                    </w:r>
                    <w:r>
                      <w:rPr>
                        <w:rStyle w:val="PageNumber"/>
                        <w:sz w:val="24"/>
                        <w:lang w:val="en-CA" w:eastAsia="en-CA"/>
                      </w:rPr>
                      <w:instrText xml:space="preserve"> PAGE </w:instrText>
                    </w:r>
                    <w:r>
                      <w:rPr>
                        <w:rStyle w:val="PageNumber"/>
                        <w:sz w:val="24"/>
                        <w:lang w:val="en-CA" w:eastAsia="en-CA"/>
                      </w:rPr>
                      <w:fldChar w:fldCharType="separate"/>
                    </w:r>
                    <w:r>
                      <w:rPr>
                        <w:rStyle w:val="PageNumber"/>
                        <w:sz w:val="24"/>
                        <w:lang w:val="en-CA" w:eastAsia="en-CA"/>
                      </w:rPr>
                      <w:t>16</w:t>
                    </w:r>
                    <w:r>
                      <w:rPr>
                        <w:rStyle w:val="PageNumber"/>
                        <w:sz w:val="24"/>
                        <w:lang w:val="en-CA" w:eastAsia="en-CA"/>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mallCaps w:val="false"/>
        <w:caps w:val="false"/>
        <w:outline w:val="false"/>
        <w:dstrike w:val="false"/>
        <w:strike w:val="false"/>
        <w:spacing w:val="0"/>
        <w:i w:val="false"/>
        <w:shadow w:val="false"/>
        <w:b/>
        <w:kern w:val="0"/>
        <w:w w:val="100"/>
        <w:emboss w:val="false"/>
        <w:imprint w:val="false"/>
        <w:vanish w:val="false"/>
      </w:rPr>
    </w:lvl>
    <w:lvl w:ilvl="1">
      <w:start w:val="1"/>
      <w:numFmt w:val="none"/>
      <w:suff w:val="nothing"/>
      <w:lvlText w:val=""/>
      <w:lvlJc w:val="start"/>
      <w:pPr>
        <w:tabs>
          <w:tab w:val="num" w:pos="0"/>
        </w:tabs>
        <w:ind w:start="720" w:hanging="0"/>
      </w:pPr>
      <w:rPr/>
    </w:lvl>
    <w:lvl w:ilvl="2">
      <w:start w:val="1"/>
      <w:numFmt w:val="none"/>
      <w:suff w:val="nothing"/>
      <w:lvlText w:val=""/>
      <w:lvlJc w:val="start"/>
      <w:pPr>
        <w:tabs>
          <w:tab w:val="num" w:pos="0"/>
        </w:tabs>
        <w:ind w:start="1440" w:hanging="0"/>
      </w:pPr>
      <w:rPr/>
    </w:lvl>
    <w:lvl w:ilvl="3">
      <w:start w:val="1"/>
      <w:numFmt w:val="none"/>
      <w:suff w:val="nothing"/>
      <w:lvlText w:val=""/>
      <w:lvlJc w:val="start"/>
      <w:pPr>
        <w:tabs>
          <w:tab w:val="num" w:pos="0"/>
        </w:tabs>
        <w:ind w:start="2160" w:hanging="0"/>
      </w:pPr>
      <w:rPr/>
    </w:lvl>
    <w:lvl w:ilvl="4">
      <w:start w:val="1"/>
      <w:numFmt w:val="none"/>
      <w:suff w:val="nothing"/>
      <w:lvlText w:val=""/>
      <w:lvlJc w:val="start"/>
      <w:pPr>
        <w:tabs>
          <w:tab w:val="num" w:pos="0"/>
        </w:tabs>
        <w:ind w:start="2880" w:hanging="0"/>
      </w:pPr>
      <w:rPr/>
    </w:lvl>
    <w:lvl w:ilvl="5">
      <w:start w:val="1"/>
      <w:numFmt w:val="none"/>
      <w:suff w:val="nothing"/>
      <w:lvlText w:val=""/>
      <w:lvlJc w:val="start"/>
      <w:pPr>
        <w:tabs>
          <w:tab w:val="num" w:pos="0"/>
        </w:tabs>
        <w:ind w:start="3600" w:hanging="0"/>
      </w:pPr>
      <w:rPr/>
    </w:lvl>
    <w:lvl w:ilvl="6">
      <w:start w:val="1"/>
      <w:numFmt w:val="none"/>
      <w:suff w:val="nothing"/>
      <w:lvlText w:val=""/>
      <w:lvlJc w:val="start"/>
      <w:pPr>
        <w:tabs>
          <w:tab w:val="num" w:pos="0"/>
        </w:tabs>
        <w:ind w:start="4320" w:hanging="0"/>
      </w:pPr>
      <w:rPr/>
    </w:lvl>
    <w:lvl w:ilvl="7">
      <w:start w:val="1"/>
      <w:numFmt w:val="none"/>
      <w:suff w:val="nothing"/>
      <w:lvlText w:val=""/>
      <w:lvlJc w:val="start"/>
      <w:pPr>
        <w:tabs>
          <w:tab w:val="num" w:pos="0"/>
        </w:tabs>
        <w:ind w:start="5040" w:hanging="0"/>
      </w:pPr>
      <w:rPr/>
    </w:lvl>
    <w:lvl w:ilvl="8">
      <w:start w:val="1"/>
      <w:numFmt w:val="none"/>
      <w:suff w:val="nothing"/>
      <w:lvlText w:val=""/>
      <w:lvlJc w:val="start"/>
      <w:pPr>
        <w:tabs>
          <w:tab w:val="num" w:pos="0"/>
        </w:tabs>
        <w:ind w:start="576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360"/>
  <w:compat>
    <w:doNotBreakWrappedTables/>
    <w:compatSetting w:name="compatibilityMode" w:uri="http://schemas.microsoft.com/office/word" w:val="12"/>
  </w:compat>
  <w:themeFontLang w:val="" w:eastAsia="" w:bidi=""/>
  <w:docVars>
    <w:docVar w:name="SWAllFollowNumberWith" w:val="3|"/>
    <w:docVar w:name="SWAllNumberFont" w:val="1|||10000000000000~~0|0|0|100|0|0|@@"/>
    <w:docVar w:name="SWAllNumberStyle" w:val="1|"/>
    <w:docVar w:name="SWAllRestartAfterHigher" w:val="1|"/>
    <w:docVar w:name="SWAllStyleThatFollows" w:val="Normal|"/>
    <w:docVar w:name="SWAllTextAfter" w:val=".|"/>
    <w:docVar w:name="SWAllTextBefore" w:val="|"/>
    <w:docVar w:name="SWConformFont" w:val="1|Times New Roman|1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Tahoma" w:cs="Garamond"/>
      <w:color w:val="auto"/>
      <w:kern w:val="2"/>
      <w:sz w:val="24"/>
      <w:szCs w:val="24"/>
      <w:lang w:val="en-US" w:eastAsia="en-US" w:bidi="hi-IN"/>
    </w:rPr>
  </w:style>
  <w:style w:type="paragraph" w:styleId="Heading1">
    <w:name w:val="heading 1"/>
    <w:basedOn w:val="Normal"/>
    <w:next w:val="Normal"/>
    <w:qFormat/>
    <w:pPr>
      <w:keepNext w:val="true"/>
      <w:widowControl/>
      <w:numPr>
        <w:ilvl w:val="0"/>
        <w:numId w:val="1"/>
      </w:numPr>
      <w:spacing w:before="240" w:after="60"/>
      <w:ind w:hanging="0" w:start="0" w:end="0"/>
      <w:jc w:val="start"/>
      <w:textAlignment w:val="auto"/>
    </w:pPr>
    <w:rPr>
      <w:b/>
      <w:kern w:val="2"/>
      <w:sz w:val="24"/>
      <w:lang w:val="en-US" w:eastAsia="en-US"/>
    </w:rPr>
  </w:style>
  <w:style w:type="paragraph" w:styleId="Heading2">
    <w:name w:val="heading 2"/>
    <w:basedOn w:val="Normal"/>
    <w:next w:val="Normal"/>
    <w:qFormat/>
    <w:pPr>
      <w:keepNext w:val="true"/>
      <w:widowControl/>
      <w:numPr>
        <w:ilvl w:val="1"/>
        <w:numId w:val="1"/>
      </w:numPr>
      <w:tabs>
        <w:tab w:val="clear" w:pos="720"/>
        <w:tab w:val="left" w:pos="1080" w:leader="none"/>
      </w:tabs>
      <w:spacing w:before="240" w:after="60"/>
      <w:ind w:hanging="0" w:start="720" w:end="0"/>
      <w:jc w:val="start"/>
      <w:textAlignment w:val="auto"/>
    </w:pPr>
    <w:rPr>
      <w:rFonts w:ascii="Arial" w:hAnsi="Arial"/>
      <w:b/>
      <w:i/>
      <w:sz w:val="24"/>
      <w:lang w:val="en-US" w:eastAsia="en-US"/>
    </w:rPr>
  </w:style>
  <w:style w:type="paragraph" w:styleId="Heading3">
    <w:name w:val="heading 3"/>
    <w:basedOn w:val="Normal"/>
    <w:next w:val="Normal"/>
    <w:qFormat/>
    <w:pPr>
      <w:keepNext w:val="true"/>
      <w:widowControl/>
      <w:numPr>
        <w:ilvl w:val="2"/>
        <w:numId w:val="1"/>
      </w:numPr>
      <w:tabs>
        <w:tab w:val="clear" w:pos="720"/>
        <w:tab w:val="left" w:pos="1800" w:leader="none"/>
      </w:tabs>
      <w:spacing w:before="240" w:after="60"/>
      <w:ind w:hanging="0" w:start="1440" w:end="0"/>
      <w:jc w:val="start"/>
      <w:textAlignment w:val="auto"/>
    </w:pPr>
    <w:rPr>
      <w:rFonts w:ascii="Arial" w:hAnsi="Arial"/>
      <w:sz w:val="24"/>
      <w:lang w:val="en-US" w:eastAsia="en-US"/>
    </w:rPr>
  </w:style>
  <w:style w:type="paragraph" w:styleId="Heading4">
    <w:name w:val="heading 4"/>
    <w:basedOn w:val="Normal"/>
    <w:next w:val="Normal"/>
    <w:qFormat/>
    <w:pPr>
      <w:keepNext w:val="true"/>
      <w:widowControl/>
      <w:numPr>
        <w:ilvl w:val="3"/>
        <w:numId w:val="1"/>
      </w:numPr>
      <w:tabs>
        <w:tab w:val="clear" w:pos="720"/>
        <w:tab w:val="left" w:pos="2520" w:leader="none"/>
      </w:tabs>
      <w:spacing w:before="240" w:after="60"/>
      <w:ind w:hanging="0" w:start="2160" w:end="0"/>
      <w:jc w:val="start"/>
      <w:textAlignment w:val="auto"/>
    </w:pPr>
    <w:rPr>
      <w:rFonts w:ascii="Arial" w:hAnsi="Arial"/>
      <w:b/>
      <w:sz w:val="24"/>
      <w:lang w:val="en-US" w:eastAsia="en-US"/>
    </w:rPr>
  </w:style>
  <w:style w:type="paragraph" w:styleId="Heading5">
    <w:name w:val="heading 5"/>
    <w:basedOn w:val="Normal"/>
    <w:next w:val="Normal"/>
    <w:qFormat/>
    <w:pPr>
      <w:widowControl/>
      <w:numPr>
        <w:ilvl w:val="4"/>
        <w:numId w:val="1"/>
      </w:numPr>
      <w:tabs>
        <w:tab w:val="clear" w:pos="720"/>
        <w:tab w:val="left" w:pos="3240" w:leader="none"/>
      </w:tabs>
      <w:spacing w:before="240" w:after="60"/>
      <w:ind w:hanging="0" w:start="2880" w:end="0"/>
      <w:jc w:val="start"/>
      <w:textAlignment w:val="auto"/>
    </w:pPr>
    <w:rPr>
      <w:sz w:val="22"/>
      <w:lang w:val="en-US" w:eastAsia="en-US"/>
    </w:rPr>
  </w:style>
  <w:style w:type="paragraph" w:styleId="Heading6">
    <w:name w:val="heading 6"/>
    <w:basedOn w:val="Normal"/>
    <w:next w:val="Normal"/>
    <w:qFormat/>
    <w:pPr>
      <w:widowControl/>
      <w:numPr>
        <w:ilvl w:val="5"/>
        <w:numId w:val="1"/>
      </w:numPr>
      <w:tabs>
        <w:tab w:val="clear" w:pos="720"/>
        <w:tab w:val="left" w:pos="3960" w:leader="none"/>
      </w:tabs>
      <w:spacing w:before="240" w:after="60"/>
      <w:ind w:hanging="0" w:start="3600" w:end="0"/>
      <w:jc w:val="start"/>
      <w:textAlignment w:val="auto"/>
    </w:pPr>
    <w:rPr>
      <w:i/>
      <w:sz w:val="22"/>
      <w:lang w:val="en-US" w:eastAsia="en-US"/>
    </w:rPr>
  </w:style>
  <w:style w:type="paragraph" w:styleId="Heading7">
    <w:name w:val="heading 7"/>
    <w:basedOn w:val="Normal"/>
    <w:next w:val="Normal"/>
    <w:qFormat/>
    <w:pPr>
      <w:widowControl/>
      <w:numPr>
        <w:ilvl w:val="6"/>
        <w:numId w:val="1"/>
      </w:numPr>
      <w:tabs>
        <w:tab w:val="clear" w:pos="720"/>
        <w:tab w:val="left" w:pos="4680" w:leader="none"/>
      </w:tabs>
      <w:spacing w:before="240" w:after="60"/>
      <w:ind w:hanging="0" w:start="4320" w:end="0"/>
      <w:jc w:val="start"/>
      <w:textAlignment w:val="auto"/>
    </w:pPr>
    <w:rPr>
      <w:rFonts w:ascii="Arial" w:hAnsi="Arial"/>
      <w:sz w:val="20"/>
      <w:lang w:val="en-US" w:eastAsia="en-US"/>
    </w:rPr>
  </w:style>
  <w:style w:type="paragraph" w:styleId="Heading8">
    <w:name w:val="heading 8"/>
    <w:basedOn w:val="Normal"/>
    <w:next w:val="Normal"/>
    <w:qFormat/>
    <w:pPr>
      <w:widowControl/>
      <w:numPr>
        <w:ilvl w:val="7"/>
        <w:numId w:val="1"/>
      </w:numPr>
      <w:tabs>
        <w:tab w:val="clear" w:pos="720"/>
        <w:tab w:val="left" w:pos="5400" w:leader="none"/>
      </w:tabs>
      <w:spacing w:before="240" w:after="60"/>
      <w:ind w:hanging="0" w:start="5040" w:end="0"/>
      <w:jc w:val="start"/>
      <w:textAlignment w:val="auto"/>
    </w:pPr>
    <w:rPr>
      <w:rFonts w:ascii="Arial" w:hAnsi="Arial"/>
      <w:i/>
      <w:sz w:val="20"/>
      <w:lang w:val="en-US" w:eastAsia="en-US"/>
    </w:rPr>
  </w:style>
  <w:style w:type="paragraph" w:styleId="Heading9">
    <w:name w:val="heading 9"/>
    <w:basedOn w:val="Normal"/>
    <w:next w:val="Normal"/>
    <w:qFormat/>
    <w:pPr>
      <w:widowControl/>
      <w:numPr>
        <w:ilvl w:val="8"/>
        <w:numId w:val="1"/>
      </w:numPr>
      <w:tabs>
        <w:tab w:val="clear" w:pos="720"/>
        <w:tab w:val="left" w:pos="6120" w:leader="none"/>
      </w:tabs>
      <w:spacing w:before="240" w:after="60"/>
      <w:ind w:hanging="0" w:start="5760" w:end="0"/>
      <w:jc w:val="start"/>
      <w:textAlignment w:val="auto"/>
    </w:pPr>
    <w:rPr>
      <w:rFonts w:ascii="Arial" w:hAnsi="Arial"/>
      <w:b/>
      <w:i/>
      <w:sz w:val="18"/>
      <w:lang w:val="en-US" w:eastAsia="en-US"/>
    </w:rPr>
  </w:style>
  <w:style w:type="character" w:styleId="DefaultParagraphFont">
    <w:name w:val="Default Paragraph Font"/>
    <w:qFormat/>
    <w:rPr/>
  </w:style>
  <w:style w:type="character" w:styleId="PageNumber">
    <w:name w:val="page number"/>
    <w:basedOn w:val="DefaultParagraphFont"/>
    <w:rPr/>
  </w:style>
  <w:style w:type="character" w:styleId="PathID">
    <w:name w:val="PathID"/>
    <w:basedOn w:val="DefaultParagraphFont"/>
    <w:qFormat/>
    <w:rPr>
      <w:rFonts w:ascii="Times New Roman" w:hAnsi="Times New Roman"/>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both"/>
      <w:textAlignment w:val="auto"/>
      <w:outlineLvl w:val="0"/>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widowControl/>
      <w:shd w:fill="000080"/>
      <w:ind w:hanging="0" w:start="0" w:end="0"/>
      <w:jc w:val="start"/>
      <w:textAlignment w:val="auto"/>
    </w:pPr>
    <w:rPr>
      <w:rFonts w:ascii="Tahoma" w:hAnsi="Tahoma"/>
      <w:sz w:val="24"/>
      <w:lang w:val="en-US" w:eastAsia="en-US"/>
    </w:rPr>
  </w:style>
  <w:style w:type="paragraph" w:styleId="BodyText2">
    <w:name w:val="Body Text 2"/>
    <w:basedOn w:val="Normal"/>
    <w:qFormat/>
    <w:pPr>
      <w:widowControl/>
      <w:ind w:hanging="0" w:start="0" w:end="0"/>
      <w:jc w:val="both"/>
      <w:textAlignment w:val="auto"/>
    </w:pPr>
    <w:rPr>
      <w:sz w:val="20"/>
      <w:lang w:val="en-US" w:eastAsia="en-US"/>
    </w:rPr>
  </w:style>
  <w:style w:type="paragraph" w:styleId="Title">
    <w:name w:val="Title"/>
    <w:basedOn w:val="Normal"/>
    <w:qFormat/>
    <w:pPr>
      <w:widowControl/>
      <w:ind w:hanging="0" w:start="0" w:end="0"/>
      <w:jc w:val="center"/>
      <w:textAlignment w:val="auto"/>
      <w:outlineLvl w:val="0"/>
    </w:pPr>
    <w:rPr>
      <w:b/>
      <w:sz w:val="24"/>
      <w:lang w:val="en-US" w:eastAsia="en-US"/>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16"/>
      <w:lang w:val="en-US" w:eastAsia="en-US"/>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LetterhdFont">
    <w:name w:val="LetterhdFont"/>
    <w:basedOn w:val="Normal"/>
    <w:next w:val="Normal"/>
    <w:autoRedefine/>
    <w:qFormat/>
    <w:pPr>
      <w:widowControl/>
      <w:ind w:hanging="0" w:start="0" w:end="0"/>
      <w:jc w:val="end"/>
      <w:textAlignment w:val="auto"/>
    </w:pPr>
    <w:rPr>
      <w:rFonts w:ascii="Garamond" w:hAnsi="Garamond"/>
      <w:sz w:val="18"/>
      <w:lang w:val="en-US" w:eastAsia="en-US"/>
    </w:rPr>
  </w:style>
  <w:style w:type="paragraph" w:styleId="LetterHeadAtt">
    <w:name w:val="LetterHeadAtt"/>
    <w:basedOn w:val="Header"/>
    <w:next w:val="Normal"/>
    <w:autoRedefine/>
    <w:qFormat/>
    <w:pPr>
      <w:widowControl/>
      <w:ind w:hanging="0" w:start="0" w:end="0"/>
      <w:jc w:val="center"/>
      <w:textAlignment w:val="auto"/>
    </w:pPr>
    <w:rPr>
      <w:rFonts w:ascii="Garamond" w:hAnsi="Garamond"/>
      <w:smallCaps/>
      <w:sz w:val="18"/>
      <w:lang w:val="en-US" w:eastAsia="en-US"/>
    </w:rPr>
  </w:style>
  <w:style w:type="paragraph" w:styleId="LetterHeaderAddress">
    <w:name w:val="LetterHeaderAddress"/>
    <w:basedOn w:val="Header"/>
    <w:next w:val="Normal"/>
    <w:autoRedefine/>
    <w:qFormat/>
    <w:pPr>
      <w:widowControl/>
      <w:ind w:hanging="0" w:start="0" w:end="0"/>
      <w:jc w:val="start"/>
      <w:textAlignment w:val="auto"/>
    </w:pPr>
    <w:rPr>
      <w:rFonts w:ascii="Garamond" w:hAnsi="Garamond"/>
      <w:smallCaps/>
      <w:sz w:val="18"/>
      <w:lang w:val="en-US" w:eastAsia="en-US"/>
    </w:rPr>
  </w:style>
  <w:style w:type="paragraph" w:styleId="LetterHeaderEmail">
    <w:name w:val="LetterHeaderEmail"/>
    <w:basedOn w:val="LetterHeaderAddress"/>
    <w:next w:val="Normal"/>
    <w:autoRedefine/>
    <w:qFormat/>
    <w:pPr>
      <w:widowControl/>
      <w:ind w:hanging="0" w:start="0" w:end="0"/>
      <w:jc w:val="end"/>
      <w:textAlignment w:val="auto"/>
    </w:pPr>
    <w:rPr>
      <w:rFonts w:ascii="Garamond" w:hAnsi="Garamond"/>
      <w:sz w:val="18"/>
      <w:lang w:val="en-US" w:eastAsia="en-US"/>
    </w:rPr>
  </w:style>
  <w:style w:type="paragraph" w:styleId="LetterHeadPhone">
    <w:name w:val="LetterHeadPhone"/>
    <w:basedOn w:val="LetterHeaderAddress"/>
    <w:next w:val="Normal"/>
    <w:autoRedefine/>
    <w:qFormat/>
    <w:pPr>
      <w:widowControl/>
      <w:ind w:hanging="0" w:start="0" w:end="0"/>
      <w:jc w:val="end"/>
      <w:textAlignment w:val="auto"/>
    </w:pPr>
    <w:rPr>
      <w:rFonts w:ascii="Garamond" w:hAnsi="Garamond"/>
      <w:sz w:val="18"/>
      <w:lang w:val="en-US" w:eastAsia="en-US"/>
    </w:rPr>
  </w:style>
  <w:style w:type="paragraph" w:styleId="LetterHeadName">
    <w:name w:val="LetterHeadName"/>
    <w:basedOn w:val="LetterHeaderAddress"/>
    <w:next w:val="Normal"/>
    <w:autoRedefine/>
    <w:qFormat/>
    <w:pPr>
      <w:widowControl/>
      <w:ind w:hanging="0" w:start="0" w:end="0"/>
      <w:jc w:val="center"/>
      <w:textAlignment w:val="auto"/>
    </w:pPr>
    <w:rPr>
      <w:rFonts w:ascii="Garamond" w:hAnsi="Garamond"/>
      <w:smallCaps/>
      <w:spacing w:val="12"/>
      <w:sz w:val="46"/>
      <w:lang w:val="en-US" w:eastAsia="en-US"/>
    </w:rPr>
  </w:style>
  <w:style w:type="paragraph" w:styleId="LetterhdWeb">
    <w:name w:val="LetterhdWeb"/>
    <w:basedOn w:val="LetterHeadPhone"/>
    <w:next w:val="Normal"/>
    <w:autoRedefine/>
    <w:qFormat/>
    <w:pPr>
      <w:widowControl/>
      <w:ind w:hanging="0" w:start="0" w:end="0"/>
      <w:jc w:val="end"/>
      <w:textAlignment w:val="auto"/>
    </w:pPr>
    <w:rPr>
      <w:rFonts w:ascii="Garamond" w:hAnsi="Garamond"/>
      <w:sz w:val="18"/>
      <w:lang w:val="en-US" w:eastAsia="en-US"/>
    </w:rPr>
  </w:style>
  <w:style w:type="paragraph" w:styleId="OmniPage5">
    <w:name w:val="OmniPage #5"/>
    <w:basedOn w:val="Normal"/>
    <w:qFormat/>
    <w:pPr>
      <w:widowControl/>
      <w:ind w:hanging="0" w:start="0" w:end="0"/>
      <w:jc w:val="start"/>
      <w:textAlignment w:val="auto"/>
    </w:pPr>
    <w:rPr>
      <w:sz w:val="20"/>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BodyTextIndent2">
    <w:name w:val="Body Text Indent 2"/>
    <w:basedOn w:val="Normal"/>
    <w:qFormat/>
    <w:pPr>
      <w:widowControl/>
      <w:ind w:firstLine="720" w:start="0" w:end="0"/>
      <w:jc w:val="both"/>
      <w:textAlignment w:val="auto"/>
    </w:pPr>
    <w:rPr>
      <w:sz w:val="20"/>
      <w:lang w:val="en-US" w:eastAsia="en-US"/>
    </w:rPr>
  </w:style>
  <w:style w:type="paragraph" w:styleId="BodyTextIndent3">
    <w:name w:val="Body Text Indent 3"/>
    <w:basedOn w:val="Normal"/>
    <w:qFormat/>
    <w:pPr>
      <w:widowControl/>
      <w:tabs>
        <w:tab w:val="clear" w:pos="720"/>
        <w:tab w:val="left" w:pos="1260" w:leader="none"/>
      </w:tabs>
      <w:ind w:hanging="1440" w:start="2160" w:end="0"/>
      <w:jc w:val="both"/>
      <w:textAlignment w:val="auto"/>
    </w:pPr>
    <w:rPr>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6448</Words>
  <Characters>45140</Characters>
  <CharactersWithSpaces>36757</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2001-11-01T08:23:00Z</dcterms:created>
  <dc:creator>bp</dc:creator>
  <dc:description/>
  <dc:language>en-CA</dc:language>
  <cp:lastModifiedBy/>
  <cp:lastPrinted>2001-11-01T07:49:00Z</cp:lastPrinted>
  <dcterms:modified xsi:type="dcterms:W3CDTF">2001-11-01T08:23:00Z</dcterms:modified>
  <cp:revision>2</cp:revision>
  <dc:subject/>
  <dc:title>NA Master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Digital Business Client User</vt:lpwstr>
  </property>
</Properties>
</file>