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lang w:val="en-US"/>
        </w:rPr>
      </w:pPr>
      <w:r>
        <w:rPr>
          <w:b/>
          <w:bCs/>
          <w:lang w:val="en-US"/>
        </w:rPr>
      </w:r>
    </w:p>
    <w:p>
      <w:pPr>
        <w:pStyle w:val="Normal"/>
        <w:rPr/>
      </w:pPr>
      <w:r>
        <w:rPr>
          <w:b/>
          <w:bCs/>
          <w:lang w:val="en-US"/>
        </w:rPr>
        <w:tab/>
        <w:tab/>
        <w:tab/>
        <w:tab/>
        <w:tab/>
        <w:tab/>
        <w:tab/>
      </w:r>
      <w:r>
        <w:rPr>
          <w:lang w:val="en-US"/>
        </w:rPr>
        <w:t>November 14, 2000</w:t>
      </w:r>
    </w:p>
    <w:p>
      <w:pPr>
        <w:pStyle w:val="Normal"/>
        <w:jc w:val="center"/>
        <w:rPr>
          <w:b/>
          <w:bCs/>
          <w:lang w:val="en-US"/>
        </w:rPr>
      </w:pPr>
      <w:r>
        <w:rPr>
          <w:b/>
          <w:bCs/>
          <w:lang w:val="en-US"/>
        </w:rPr>
      </w:r>
    </w:p>
    <w:p>
      <w:pPr>
        <w:pStyle w:val="Heading1"/>
        <w:ind w:hanging="0" w:start="0"/>
        <w:rPr/>
      </w:pPr>
      <w:r>
        <w:rPr/>
        <w:t>MEMORANDUM</w:t>
      </w:r>
    </w:p>
    <w:p>
      <w:pPr>
        <w:pStyle w:val="Normal"/>
        <w:rPr>
          <w:lang w:val="en-US"/>
        </w:rPr>
      </w:pPr>
      <w:r>
        <w:rPr>
          <w:lang w:val="en-US"/>
        </w:rPr>
      </w:r>
    </w:p>
    <w:p>
      <w:pPr>
        <w:pStyle w:val="Heading2"/>
        <w:ind w:hanging="0" w:start="0"/>
        <w:rPr/>
      </w:pPr>
      <w:r>
        <w:rPr/>
        <w:t>HAND DELIVERED</w:t>
      </w:r>
    </w:p>
    <w:p>
      <w:pPr>
        <w:pStyle w:val="Normal"/>
        <w:rPr>
          <w:lang w:val="en-US"/>
        </w:rPr>
      </w:pPr>
      <w:r>
        <w:rPr>
          <w:lang w:val="en-US"/>
        </w:rPr>
      </w:r>
    </w:p>
    <w:p>
      <w:pPr>
        <w:pStyle w:val="Normal"/>
        <w:rPr/>
      </w:pPr>
      <w:r>
        <w:rPr>
          <w:b/>
          <w:bCs/>
          <w:lang w:val="en-US"/>
        </w:rPr>
        <w:t>To:</w:t>
        <w:tab/>
      </w:r>
      <w:r>
        <w:rPr>
          <w:lang w:val="en-US"/>
        </w:rPr>
        <w:t>Peggy J. Banczak, Esq.</w:t>
        <w:tab/>
        <w:tab/>
        <w:tab/>
      </w:r>
      <w:r>
        <w:rPr/>
        <w:t>Enron Mexico Corp.</w:t>
      </w:r>
    </w:p>
    <w:p>
      <w:pPr>
        <w:pStyle w:val="Normal"/>
        <w:rPr/>
      </w:pPr>
      <w:r>
        <w:rPr/>
      </w:r>
    </w:p>
    <w:p>
      <w:pPr>
        <w:pStyle w:val="Normal"/>
        <w:rPr/>
      </w:pPr>
      <w:r>
        <w:rPr>
          <w:b/>
          <w:bCs/>
        </w:rPr>
        <w:t>From:</w:t>
        <w:tab/>
      </w:r>
      <w:r>
        <w:rPr/>
        <w:t>Rogelio López-Velarde</w:t>
      </w:r>
    </w:p>
    <w:p>
      <w:pPr>
        <w:pStyle w:val="Normal"/>
        <w:rPr/>
      </w:pPr>
      <w:r>
        <w:rPr/>
        <w:tab/>
        <w:t>Hernán González</w:t>
      </w:r>
    </w:p>
    <w:p>
      <w:pPr>
        <w:pStyle w:val="Normal"/>
        <w:rPr>
          <w:b/>
          <w:bCs/>
        </w:rPr>
      </w:pPr>
      <w:r>
        <w:rPr>
          <w:b/>
          <w:bCs/>
        </w:rPr>
      </w:r>
    </w:p>
    <w:p>
      <w:pPr>
        <w:pStyle w:val="Normal"/>
        <w:rPr>
          <w:b/>
          <w:bCs/>
          <w:u w:val="single"/>
        </w:rPr>
      </w:pPr>
      <w:r>
        <w:rPr>
          <w:b/>
          <w:bCs/>
        </w:rPr>
        <w:t>Re:</w:t>
        <w:tab/>
        <w:t>Consorcio Desarrollo Económico Mexicano, S.A. de C.V. v. President of the</w:t>
      </w:r>
    </w:p>
    <w:p>
      <w:pPr>
        <w:pStyle w:val="Normal"/>
        <w:ind w:firstLine="708" w:end="0"/>
        <w:rPr/>
      </w:pPr>
      <w:r>
        <w:rPr>
          <w:b/>
          <w:bCs/>
          <w:u w:val="single"/>
          <w:lang w:val="en-US"/>
        </w:rPr>
        <w:t xml:space="preserve">United Mexican States, et al.                                                                                </w:t>
      </w:r>
      <w:r>
        <w:rPr>
          <w:b/>
          <w:bCs/>
          <w:lang w:val="en-US"/>
        </w:rPr>
        <w:t>.</w:t>
      </w:r>
    </w:p>
    <w:p>
      <w:pPr>
        <w:pStyle w:val="Normal"/>
        <w:rPr>
          <w:lang w:val="en-US"/>
        </w:rPr>
      </w:pPr>
      <w:r>
        <w:rPr>
          <w:lang w:val="en-US"/>
        </w:rPr>
        <w:t>______________________________________________________________________</w:t>
      </w:r>
    </w:p>
    <w:p>
      <w:pPr>
        <w:pStyle w:val="Normal"/>
        <w:rPr>
          <w:lang w:val="en-US"/>
        </w:rPr>
      </w:pPr>
      <w:r>
        <w:rPr>
          <w:lang w:val="en-US"/>
        </w:rPr>
      </w:r>
    </w:p>
    <w:p>
      <w:pPr>
        <w:pStyle w:val="BodyText"/>
        <w:ind w:firstLine="708" w:end="0"/>
        <w:rPr/>
      </w:pPr>
      <w:r>
        <w:rPr/>
        <w:t xml:space="preserve">Please be advised that the appeal filed in the above-styled case will be heard by the Court of Appeals for the First Circuit.  </w:t>
      </w:r>
    </w:p>
    <w:p>
      <w:pPr>
        <w:pStyle w:val="Normal"/>
        <w:jc w:val="both"/>
        <w:rPr>
          <w:lang w:val="en-US"/>
        </w:rPr>
      </w:pPr>
      <w:r>
        <w:rPr>
          <w:lang w:val="en-US"/>
        </w:rPr>
      </w:r>
    </w:p>
    <w:p>
      <w:pPr>
        <w:pStyle w:val="Normal"/>
        <w:ind w:firstLine="708" w:end="0"/>
        <w:jc w:val="both"/>
        <w:rPr>
          <w:lang w:val="en-US"/>
        </w:rPr>
      </w:pPr>
      <w:r>
        <w:rPr>
          <w:lang w:val="en-US"/>
        </w:rPr>
        <w:t>This Court of Appeals has heard two of the five appeals filed by the same petitioner in similar Amparo proceedings. As you know, all of these appeals have been denied.  We understand that the appeals that this Court of Appeals have denied were in connection with the Amparo complaints filed by the petitioner in respect of the Cemex and Iberdrola-Monterrey power projects, and the Intergen and Mitsubishi power projects.</w:t>
      </w:r>
    </w:p>
    <w:p>
      <w:pPr>
        <w:pStyle w:val="Normal"/>
        <w:jc w:val="both"/>
        <w:rPr>
          <w:lang w:val="en-US"/>
        </w:rPr>
      </w:pPr>
      <w:r>
        <w:rPr>
          <w:lang w:val="en-US"/>
        </w:rPr>
      </w:r>
    </w:p>
    <w:p>
      <w:pPr>
        <w:pStyle w:val="Normal"/>
        <w:ind w:firstLine="708" w:end="0"/>
        <w:jc w:val="both"/>
        <w:rPr/>
      </w:pPr>
      <w:r>
        <w:rPr>
          <w:lang w:val="en-US"/>
        </w:rPr>
        <w:t>As discussed, we will schedule a meeting in-chambers with the justices of the Court of Appeals, and the General Counsel of the Energy Regulatory Commission (</w:t>
      </w:r>
      <w:r>
        <w:rPr>
          <w:u w:val="single"/>
          <w:lang w:val="en-US"/>
        </w:rPr>
        <w:t>Comisión Reguladora de Energía</w:t>
      </w:r>
      <w:r>
        <w:rPr>
          <w:lang w:val="en-US"/>
        </w:rPr>
        <w:t>), aimed at discussing the dismissal of the appeal.</w:t>
      </w:r>
    </w:p>
    <w:p>
      <w:pPr>
        <w:pStyle w:val="Normal"/>
        <w:rPr>
          <w:lang w:val="en-US"/>
        </w:rPr>
      </w:pPr>
      <w:r>
        <w:rPr>
          <w:lang w:val="en-US"/>
        </w:rPr>
      </w:r>
    </w:p>
    <w:p>
      <w:pPr>
        <w:pStyle w:val="Normal"/>
        <w:rPr>
          <w:lang w:val="en-US"/>
        </w:rPr>
      </w:pPr>
      <w:r>
        <w:rPr>
          <w:lang w:val="en-US"/>
        </w:rPr>
        <w:tab/>
        <w:tab/>
        <w:tab/>
        <w:tab/>
        <w:tab/>
        <w:tab/>
        <w:t>Very truly yours,</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Heading3"/>
        <w:ind w:hanging="0" w:start="0"/>
        <w:rPr>
          <w:lang w:val="es-ES"/>
        </w:rPr>
      </w:pPr>
      <w:r>
        <w:rPr>
          <w:lang w:val="es-ES"/>
        </w:rPr>
        <w:t>RLV/avc</w:t>
      </w:r>
    </w:p>
    <w:p>
      <w:pPr>
        <w:pStyle w:val="Normal"/>
        <w:rPr>
          <w:b/>
          <w:bCs/>
          <w:sz w:val="18"/>
          <w:lang w:val="en-US"/>
        </w:rPr>
      </w:pPr>
      <w:r>
        <w:rPr>
          <w:b/>
          <w:bCs/>
          <w:sz w:val="18"/>
          <w:lang w:val="en-US"/>
        </w:rPr>
        <w:fldChar w:fldCharType="begin"/>
      </w:r>
      <w:r>
        <w:rPr>
          <w:sz w:val="18"/>
          <w:b/>
          <w:bCs/>
          <w:lang w:val="en-US"/>
        </w:rPr>
        <w:instrText xml:space="preserve"> FILENAME \p </w:instrText>
      </w:r>
      <w:r>
        <w:rPr>
          <w:sz w:val="18"/>
          <w:b/>
          <w:bCs/>
          <w:lang w:val="en-US"/>
        </w:rPr>
        <w:fldChar w:fldCharType="separate"/>
      </w:r>
      <w:r>
        <w:rPr>
          <w:sz w:val="18"/>
          <w:b/>
          <w:bCs/>
          <w:lang w:val="en-US"/>
        </w:rPr>
        <w:t>/mnt/main-storage/datasets/enron-docs/doc/RLV_memo_appeal_111400-1976898ea62a660e555ed04691f54b92bfa986ca57a994b26650d83989c6cc64.doc</w:t>
      </w:r>
      <w:r>
        <w:rPr>
          <w:sz w:val="18"/>
          <w:b/>
          <w:bCs/>
          <w:lang w:val="en-US"/>
        </w:rPr>
        <w:fldChar w:fldCharType="end"/>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mallCaps/>
        <w:sz w:val="36"/>
      </w:rPr>
    </w:pPr>
    <w:r>
      <w:rPr>
        <w:b/>
        <w:bCs/>
        <w:smallCaps/>
        <w:sz w:val="36"/>
      </w:rPr>
      <w:t>Lopez Velarde, Heftye, Abogados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ES" w:bidi="ar-SA" w:eastAsia="zh-CN"/>
    </w:rPr>
  </w:style>
  <w:style w:type="paragraph" w:styleId="Heading1">
    <w:name w:val="heading 1"/>
    <w:basedOn w:val="Normal"/>
    <w:next w:val="Normal"/>
    <w:qFormat/>
    <w:pPr>
      <w:keepNext w:val="true"/>
      <w:numPr>
        <w:ilvl w:val="0"/>
        <w:numId w:val="1"/>
      </w:numPr>
      <w:jc w:val="center"/>
      <w:outlineLvl w:val="0"/>
    </w:pPr>
    <w:rPr>
      <w:b/>
      <w:bCs/>
      <w:sz w:val="28"/>
      <w:lang w:val="en-US"/>
    </w:rPr>
  </w:style>
  <w:style w:type="paragraph" w:styleId="Heading2">
    <w:name w:val="heading 2"/>
    <w:basedOn w:val="Normal"/>
    <w:next w:val="Normal"/>
    <w:qFormat/>
    <w:pPr>
      <w:keepNext w:val="true"/>
      <w:numPr>
        <w:ilvl w:val="1"/>
        <w:numId w:val="1"/>
      </w:numPr>
      <w:outlineLvl w:val="1"/>
    </w:pPr>
    <w:rPr>
      <w:b/>
      <w:bCs/>
      <w:u w:val="single"/>
      <w:lang w:val="en-US"/>
    </w:rPr>
  </w:style>
  <w:style w:type="paragraph" w:styleId="Heading3">
    <w:name w:val="heading 3"/>
    <w:basedOn w:val="Normal"/>
    <w:next w:val="Normal"/>
    <w:qFormat/>
    <w:pPr>
      <w:keepNext w:val="true"/>
      <w:numPr>
        <w:ilvl w:val="2"/>
        <w:numId w:val="1"/>
      </w:numPr>
      <w:outlineLvl w:val="2"/>
    </w:pPr>
    <w:rPr>
      <w:b/>
      <w:bCs/>
      <w:lang w:val="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2000-11-14T16:54:00Z</dcterms:created>
  <dc:creator>Rogelio López Velarde</dc:creator>
  <dc:description/>
  <dc:language>en-CA</dc:language>
  <cp:lastModifiedBy>pbancza</cp:lastModifiedBy>
  <dcterms:modified xsi:type="dcterms:W3CDTF">2000-11-14T16:54:00Z</dcterms:modified>
  <cp:revision>2</cp:revision>
  <dc:subject/>
  <dc:title/>
</cp:coreProperties>
</file>