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sz w:val="28"/>
              </w:rPr>
            </w:pPr>
            <w:r>
              <w:rPr>
                <w:rFonts w:cs="Times New Roman" w:ascii="Times New Roman" w:hAnsi="Times New Roman"/>
                <w:sz w:val="28"/>
              </w:rPr>
              <w:t>RICK KNAUTH</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sz w:val="22"/>
              </w:rPr>
            </w:pPr>
            <w:r>
              <w:rPr>
                <w:rFonts w:cs="Times New Roman" w:ascii="Times New Roman" w:hAnsi="Times New Roman"/>
                <w:sz w:val="22"/>
              </w:rPr>
              <w:t>4444 Westheimer Road, #583</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rPr>
                <w:rFonts w:ascii="Times New Roman" w:hAnsi="Times New Roman" w:cs="Times New Roman"/>
                <w:sz w:val="22"/>
              </w:rPr>
            </w:pPr>
            <w:r>
              <w:rPr>
                <w:rFonts w:cs="Times New Roman" w:ascii="Times New Roman" w:hAnsi="Times New Roman"/>
                <w:sz w:val="22"/>
              </w:rPr>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sz w:val="22"/>
              </w:rPr>
            </w:pPr>
            <w:r>
              <w:rPr>
                <w:rFonts w:cs="Times New Roman" w:ascii="Times New Roman" w:hAnsi="Times New Roman"/>
                <w:sz w:val="22"/>
              </w:rPr>
              <w:t>Houston, TX  77027</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rPr>
                <w:rFonts w:ascii="Times New Roman" w:hAnsi="Times New Roman" w:cs="Times New Roman"/>
                <w:sz w:val="22"/>
              </w:rPr>
            </w:pPr>
            <w:r>
              <w:rPr>
                <w:rFonts w:cs="Times New Roman" w:ascii="Times New Roman" w:hAnsi="Times New Roman"/>
                <w:sz w:val="22"/>
              </w:rPr>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sz w:val="22"/>
              </w:rPr>
            </w:pPr>
            <w:r>
              <w:rPr>
                <w:rFonts w:cs="Times New Roman" w:ascii="Times New Roman" w:hAnsi="Times New Roman"/>
                <w:sz w:val="22"/>
              </w:rPr>
              <w:t>(713) 628-8243</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rPr>
                <w:rFonts w:ascii="Times New Roman" w:hAnsi="Times New Roman" w:cs="Times New Roman"/>
                <w:sz w:val="22"/>
              </w:rPr>
            </w:pPr>
            <w:r>
              <w:rPr>
                <w:rFonts w:cs="Times New Roman" w:ascii="Times New Roman" w:hAnsi="Times New Roman"/>
                <w:sz w:val="22"/>
              </w:rPr>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sz w:val="22"/>
              </w:rPr>
            </w:pPr>
            <w:r>
              <w:rPr>
                <w:rFonts w:cs="Times New Roman" w:ascii="Times New Roman" w:hAnsi="Times New Roman"/>
                <w:sz w:val="22"/>
              </w:rPr>
              <w:t>rknauth@att.net</w:t>
            </w:r>
          </w:p>
        </w:tc>
      </w:tr>
      <w:tr>
        <w:trPr/>
        <w:tc>
          <w:tcPr>
            <w:tcW w:w="9720" w:type="dxa"/>
            <w:gridSpan w:val="2"/>
            <w:tcBorders>
              <w:top w:val="single" w:sz="4" w:space="0" w:color="000000"/>
              <w:start w:val="single" w:sz="4" w:space="0" w:color="000000"/>
              <w:bottom w:val="single" w:sz="4" w:space="0" w:color="000000"/>
              <w:end w:val="single" w:sz="4" w:space="0" w:color="000000"/>
            </w:tcBorders>
          </w:tcPr>
          <w:p>
            <w:pPr>
              <w:pStyle w:val="Heading2"/>
              <w:ind w:hanging="0" w:start="0"/>
              <w:rPr>
                <w:sz w:val="22"/>
              </w:rPr>
            </w:pPr>
            <w:r>
              <w:rPr>
                <w:sz w:val="22"/>
              </w:rPr>
              <w:t>EXPERIENCE</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u w:val="single"/>
        </w:rPr>
      </w:pPr>
      <w:r>
        <w:rPr>
          <w:rFonts w:cs="Times New Roman" w:ascii="Times New Roman" w:hAnsi="Times New Roman"/>
          <w:b/>
          <w:sz w:val="22"/>
          <w:u w:val="single"/>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Airspeed Translations</w:t>
            </w:r>
          </w:p>
        </w:tc>
        <w:tc>
          <w:tcPr>
            <w:tcW w:w="4860" w:type="dxa"/>
            <w:tcBorders/>
          </w:tcPr>
          <w:p>
            <w:pPr>
              <w:pStyle w:val="Heading3"/>
              <w:ind w:hanging="0" w:start="0"/>
              <w:rPr>
                <w:sz w:val="22"/>
              </w:rPr>
            </w:pPr>
            <w:r>
              <w:rPr>
                <w:sz w:val="22"/>
              </w:rPr>
              <w:t>September 1999 – Present</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Managing Director</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b/>
                <w:sz w:val="22"/>
              </w:rPr>
            </w:pPr>
            <w:r>
              <w:rPr>
                <w:rFonts w:cs="Times New Roman" w:ascii="Times New Roman" w:hAnsi="Times New Roman"/>
                <w:b/>
                <w:sz w:val="22"/>
              </w:rPr>
              <w:t>Houston, TX</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Founded an internet-based company that translates documents to and from English, Spanish, Portuguese and French with offices in El Salvador and Houston.</w:t>
      </w:r>
    </w:p>
    <w:p>
      <w:pPr>
        <w:pStyle w:val="Normal"/>
        <w:numPr>
          <w:ilvl w:val="0"/>
          <w:numId w:val="9"/>
        </w:numPr>
        <w:tabs>
          <w:tab w:val="clear" w:pos="720"/>
          <w:tab w:val="left" w:pos="-720"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Developed original business concept, and business plan.  Identified current partners/investors, including the former President of a division of a Fortune 50 corporation and a member of the Board of Directors of the El Salvadoran Central Bank.</w:t>
      </w:r>
    </w:p>
    <w:p>
      <w:pPr>
        <w:pStyle w:val="Normal"/>
        <w:numPr>
          <w:ilvl w:val="0"/>
          <w:numId w:val="9"/>
        </w:numPr>
        <w:tabs>
          <w:tab w:val="clear" w:pos="720"/>
          <w:tab w:val="left" w:pos="-720"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Set up legal entity, interviewed and hired staff, purchased equipment and set up offices in Houston and El Salvador.</w:t>
      </w:r>
    </w:p>
    <w:p>
      <w:pPr>
        <w:pStyle w:val="Normal"/>
        <w:numPr>
          <w:ilvl w:val="0"/>
          <w:numId w:val="9"/>
        </w:numPr>
        <w:tabs>
          <w:tab w:val="clear" w:pos="720"/>
          <w:tab w:val="left" w:pos="-720"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Responsible for all aspects of day-to-day management including developing and implementing business strategy, sales and marketing, and managing employees.</w:t>
      </w:r>
    </w:p>
    <w:p>
      <w:pPr>
        <w:pStyle w:val="Normal"/>
        <w:numPr>
          <w:ilvl w:val="0"/>
          <w:numId w:val="9"/>
        </w:numPr>
        <w:tabs>
          <w:tab w:val="clear" w:pos="720"/>
          <w:tab w:val="left" w:pos="-720"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Year 2000 revenues, based on year-to-date performance, estimated at over $200,000.</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u w:val="single"/>
        </w:rPr>
      </w:pPr>
      <w:r>
        <w:rPr>
          <w:rFonts w:cs="Times New Roman" w:ascii="Times New Roman" w:hAnsi="Times New Roman"/>
          <w:b/>
          <w:sz w:val="22"/>
          <w:u w:val="single"/>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Oxbow Corporation</w:t>
            </w:r>
          </w:p>
        </w:tc>
        <w:tc>
          <w:tcPr>
            <w:tcW w:w="4860" w:type="dxa"/>
            <w:tcBorders/>
          </w:tcPr>
          <w:p>
            <w:pPr>
              <w:pStyle w:val="Heading3"/>
              <w:ind w:hanging="0" w:start="0"/>
              <w:rPr>
                <w:sz w:val="22"/>
              </w:rPr>
            </w:pPr>
            <w:r>
              <w:rPr>
                <w:sz w:val="22"/>
              </w:rPr>
              <w:t>November 1998 – August 1999</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Asset Manager</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b/>
                <w:sz w:val="22"/>
              </w:rPr>
            </w:pPr>
            <w:r>
              <w:rPr>
                <w:rFonts w:cs="Times New Roman" w:ascii="Times New Roman" w:hAnsi="Times New Roman"/>
                <w:b/>
                <w:sz w:val="22"/>
              </w:rPr>
              <w:t>Reno, NV</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(Owner announced intention to sell the company in the summer of 1999). Responsible for the financial management of Oxbow’s geothermal power plants in the Philippines and Costa Rica.</w:t>
      </w:r>
    </w:p>
    <w:p>
      <w:pPr>
        <w:pStyle w:val="Normal"/>
        <w:numPr>
          <w:ilvl w:val="0"/>
          <w:numId w:val="12"/>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Prepared budgets, monitored costs, created and maintained models to track financial performance, prepared reports and made presentations to senior management.</w:t>
      </w:r>
    </w:p>
    <w:p>
      <w:pPr>
        <w:pStyle w:val="Normal"/>
        <w:numPr>
          <w:ilvl w:val="0"/>
          <w:numId w:val="6"/>
        </w:numPr>
        <w:tabs>
          <w:tab w:val="clear" w:pos="720"/>
          <w:tab w:val="left" w:pos="-720" w:leader="none"/>
          <w:tab w:val="left" w:pos="36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Liased with the Inter-American Development Bank and a consortium of banks in the Philippines on all issues related to loans for the construction of the power plants.</w:t>
      </w:r>
    </w:p>
    <w:p>
      <w:pPr>
        <w:pStyle w:val="Normal"/>
        <w:numPr>
          <w:ilvl w:val="0"/>
          <w:numId w:val="6"/>
        </w:numPr>
        <w:tabs>
          <w:tab w:val="clear" w:pos="720"/>
          <w:tab w:val="left" w:pos="-720" w:leader="none"/>
          <w:tab w:val="left" w:pos="36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 xml:space="preserve">Constructed models to analyze the financial impact of various interpretations of Oxbow’s Philippines’ power sales contract and traveled to Manila as part of contract negotiating team. </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u w:val="single"/>
        </w:rPr>
      </w:pPr>
      <w:r>
        <w:rPr>
          <w:rFonts w:cs="Times New Roman" w:ascii="Times New Roman" w:hAnsi="Times New Roman"/>
          <w:b/>
          <w:sz w:val="22"/>
          <w:u w:val="single"/>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Coastal Power Company</w:t>
            </w:r>
          </w:p>
        </w:tc>
        <w:tc>
          <w:tcPr>
            <w:tcW w:w="4860" w:type="dxa"/>
            <w:tcBorders/>
          </w:tcPr>
          <w:p>
            <w:pPr>
              <w:pStyle w:val="Heading3"/>
              <w:ind w:hanging="0" w:start="0"/>
              <w:rPr>
                <w:sz w:val="22"/>
              </w:rPr>
            </w:pPr>
            <w:r>
              <w:rPr>
                <w:sz w:val="22"/>
              </w:rPr>
              <w:t>June 1994 – November 1998</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Int’l Business Developer/Project Manager</w:t>
            </w:r>
          </w:p>
        </w:tc>
        <w:tc>
          <w:tcPr>
            <w:tcW w:w="4860" w:type="dxa"/>
            <w:tcBorders/>
          </w:tcPr>
          <w:p>
            <w:pPr>
              <w:pStyle w:val="Heading3"/>
              <w:snapToGrid w:val="false"/>
              <w:ind w:hanging="0" w:start="0"/>
              <w:rPr>
                <w:rFonts w:ascii="Times New Roman" w:hAnsi="Times New Roman" w:cs="Times New Roman"/>
                <w:b/>
                <w:sz w:val="22"/>
              </w:rPr>
            </w:pPr>
            <w:r>
              <w:rPr>
                <w:rFonts w:cs="Times New Roman"/>
                <w:b/>
                <w:sz w:val="22"/>
              </w:rPr>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sz w:val="22"/>
        </w:rPr>
      </w:pPr>
      <w:r>
        <w:rPr>
          <w:rFonts w:cs="Times New Roman" w:ascii="Times New Roman" w:hAnsi="Times New Roman"/>
          <w:sz w:val="22"/>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i/>
                <w:i/>
                <w:sz w:val="22"/>
              </w:rPr>
            </w:pPr>
            <w:r>
              <w:rPr>
                <w:rFonts w:cs="Times New Roman" w:ascii="Times New Roman" w:hAnsi="Times New Roman"/>
                <w:i/>
                <w:sz w:val="22"/>
              </w:rPr>
              <w:t>Manila, Philippines</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i/>
                <w:i/>
                <w:sz w:val="22"/>
              </w:rPr>
            </w:pPr>
            <w:r>
              <w:rPr>
                <w:rFonts w:cs="Times New Roman" w:ascii="Times New Roman" w:hAnsi="Times New Roman"/>
                <w:i/>
                <w:sz w:val="22"/>
              </w:rPr>
              <w:t>March 1998 – November 1998</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Coastal Power’s sole full time in-country representative searching for private electricity power plant development opportunities.</w:t>
      </w:r>
    </w:p>
    <w:p>
      <w:pPr>
        <w:pStyle w:val="BodyText"/>
        <w:numPr>
          <w:ilvl w:val="0"/>
          <w:numId w:val="10"/>
        </w:numPr>
        <w:tabs>
          <w:tab w:val="clear" w:pos="1"/>
          <w:tab w:val="left" w:pos="-720" w:leader="none"/>
          <w:tab w:val="left" w:pos="3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sz w:val="22"/>
        </w:rPr>
      </w:pPr>
      <w:r>
        <w:rPr>
          <w:sz w:val="22"/>
        </w:rPr>
        <w:t>Identified, performed due diligence, and negotiated development rights for independent power generation projects.  Developed and manipulated financial models, schedules, and project memoranda for review by corporate management.</w:t>
      </w:r>
    </w:p>
    <w:p>
      <w:pPr>
        <w:pStyle w:val="BodyText"/>
        <w:numPr>
          <w:ilvl w:val="0"/>
          <w:numId w:val="10"/>
        </w:numPr>
        <w:tabs>
          <w:tab w:val="clear" w:pos="1"/>
          <w:tab w:val="left" w:pos="-720"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sz w:val="22"/>
        </w:rPr>
      </w:pPr>
      <w:r>
        <w:rPr>
          <w:sz w:val="22"/>
        </w:rPr>
        <w:t>Managed project development, including the preparation of bids (if required), with responsibility for defining and negotiating the appropriate commercial arrangements and seeking preliminary debt and equity financing information.</w:t>
      </w:r>
    </w:p>
    <w:p>
      <w:pPr>
        <w:pStyle w:val="Normal"/>
        <w:numPr>
          <w:ilvl w:val="0"/>
          <w:numId w:val="10"/>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Managed partner/government/political relations during the development process, and coordinated the participation of Coastal’s legal, tax, and finance departments.</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i/>
                <w:i/>
                <w:sz w:val="22"/>
              </w:rPr>
            </w:pPr>
            <w:r>
              <w:rPr>
                <w:rFonts w:cs="Times New Roman" w:ascii="Times New Roman" w:hAnsi="Times New Roman"/>
                <w:i/>
                <w:sz w:val="22"/>
              </w:rPr>
              <w:t>Bangkok, Thailand</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i/>
                <w:i/>
                <w:sz w:val="22"/>
              </w:rPr>
            </w:pPr>
            <w:r>
              <w:rPr>
                <w:rFonts w:cs="Times New Roman" w:ascii="Times New Roman" w:hAnsi="Times New Roman"/>
                <w:i/>
                <w:sz w:val="22"/>
              </w:rPr>
              <w:t>June 1997 – March 1998</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Coastal Power Company’s Country Representative seeking power plant development opportunities in Thailand, the Philippines, Vietnam, Cambodia, and Laos.  Role similar to that described above under the Manila, Philippines heading.</w:t>
      </w:r>
      <w:r>
        <w:br w:type="page"/>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i/>
                <w:i/>
                <w:sz w:val="22"/>
              </w:rPr>
            </w:pPr>
            <w:r>
              <w:rPr>
                <w:rFonts w:cs="Times New Roman" w:ascii="Times New Roman" w:hAnsi="Times New Roman"/>
                <w:i/>
                <w:sz w:val="22"/>
              </w:rPr>
              <w:t>Houston, TX</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i/>
                <w:i/>
                <w:sz w:val="22"/>
              </w:rPr>
            </w:pPr>
            <w:r>
              <w:rPr>
                <w:rFonts w:cs="Times New Roman" w:ascii="Times New Roman" w:hAnsi="Times New Roman"/>
                <w:i/>
                <w:sz w:val="22"/>
              </w:rPr>
              <w:t>June 1995 – June 1997</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Coordinated the investigation and development of opportunities to own and operate power plants in various countries, including Ecuador, Costa Rica, Honduras, Guatemala, El Salvador, Pakistan, and the Philippines.</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i/>
                <w:i/>
                <w:sz w:val="22"/>
              </w:rPr>
            </w:pPr>
            <w:r>
              <w:rPr>
                <w:rFonts w:cs="Times New Roman" w:ascii="Times New Roman" w:hAnsi="Times New Roman"/>
                <w:i/>
                <w:sz w:val="22"/>
              </w:rPr>
              <w:t>San Salvador, El Salvador</w:t>
            </w:r>
          </w:p>
        </w:tc>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rPr>
                <w:rFonts w:ascii="Times New Roman" w:hAnsi="Times New Roman" w:cs="Times New Roman"/>
                <w:i/>
                <w:i/>
                <w:sz w:val="22"/>
              </w:rPr>
            </w:pPr>
            <w:r>
              <w:rPr>
                <w:rFonts w:cs="Times New Roman" w:ascii="Times New Roman" w:hAnsi="Times New Roman"/>
                <w:i/>
                <w:sz w:val="22"/>
              </w:rPr>
              <w:t>June 1994 – June 1995</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Local Project Manager for the construction of 144MW, $100 million Nejapa power plant.  First Coastal Power employee in El Salvador, remaining in-country from initial due diligence to initial capacity tests.</w:t>
      </w:r>
    </w:p>
    <w:p>
      <w:pPr>
        <w:pStyle w:val="Normal"/>
        <w:numPr>
          <w:ilvl w:val="0"/>
          <w:numId w:val="5"/>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 xml:space="preserve">Opened Coastal’s first local office. Hired staff, opened local accounts, set up payroll procedures, office communications systems, security procedures. </w:t>
        <w:tab/>
        <w:tab/>
        <w:tab/>
        <w:tab/>
        <w:tab/>
        <w:tab/>
        <w:tab/>
        <w:tab/>
      </w:r>
    </w:p>
    <w:p>
      <w:pPr>
        <w:pStyle w:val="Normal"/>
        <w:numPr>
          <w:ilvl w:val="0"/>
          <w:numId w:val="5"/>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Served as Coastal’s central point of contact with the Salvadoran energy utility, Coastal’s local partner, the US Embassy and other private and government entities.</w:t>
      </w:r>
    </w:p>
    <w:p>
      <w:pPr>
        <w:pStyle w:val="Normal"/>
        <w:numPr>
          <w:ilvl w:val="0"/>
          <w:numId w:val="5"/>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Participated in other aspects of project development, ranging from managing the movement of project materials through customs to assisting Coastal’s construction engineers and researching issues such as value added tax, local labor laws, and environmental regulations.</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u w:val="single"/>
        </w:rPr>
      </w:pPr>
      <w:r>
        <w:rPr>
          <w:rFonts w:cs="Times New Roman" w:ascii="Times New Roman" w:hAnsi="Times New Roman"/>
          <w:b/>
          <w:sz w:val="22"/>
          <w:u w:val="single"/>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United Nations Department of Technical</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 xml:space="preserve">    </w:t>
            </w:r>
            <w:r>
              <w:rPr>
                <w:rFonts w:cs="Times New Roman" w:ascii="Times New Roman" w:hAnsi="Times New Roman"/>
                <w:b/>
                <w:sz w:val="22"/>
              </w:rPr>
              <w:t>Cooperation for Development</w:t>
            </w:r>
          </w:p>
        </w:tc>
        <w:tc>
          <w:tcPr>
            <w:tcW w:w="4860" w:type="dxa"/>
            <w:tcBorders/>
          </w:tcPr>
          <w:p>
            <w:pPr>
              <w:pStyle w:val="Heading3"/>
              <w:ind w:hanging="0" w:start="0"/>
              <w:rPr>
                <w:sz w:val="22"/>
              </w:rPr>
            </w:pPr>
            <w:r>
              <w:rPr>
                <w:sz w:val="22"/>
              </w:rPr>
              <w:t>1989 - 1992</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Civil Engineer UNV</w:t>
            </w:r>
          </w:p>
        </w:tc>
        <w:tc>
          <w:tcPr>
            <w:tcW w:w="4860" w:type="dxa"/>
            <w:tcBorders/>
          </w:tcPr>
          <w:p>
            <w:pPr>
              <w:pStyle w:val="Heading3"/>
              <w:ind w:hanging="0" w:start="0"/>
              <w:rPr>
                <w:sz w:val="22"/>
              </w:rPr>
            </w:pPr>
            <w:r>
              <w:rPr>
                <w:sz w:val="22"/>
              </w:rPr>
              <w:t>South Pacific</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Traveled extensively throughout the South Pacific region (W. Samoa, Tuvalu, Kiribati, Tonga, Tokelau) on a UN Water Resources Development Project.</w:t>
      </w:r>
    </w:p>
    <w:p>
      <w:pPr>
        <w:pStyle w:val="Normal"/>
        <w:numPr>
          <w:ilvl w:val="0"/>
          <w:numId w:val="11"/>
        </w:numPr>
        <w:tabs>
          <w:tab w:val="clear" w:pos="720"/>
          <w:tab w:val="left" w:pos="-720" w:leader="none"/>
          <w:tab w:val="left" w:pos="1" w:leader="none"/>
          <w:tab w:val="left" w:pos="36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Managed and implemented various UN water development projects, focusing primarily on the provision of potable water to rural communities.</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u w:val="single"/>
        </w:rPr>
      </w:pPr>
      <w:r>
        <w:rPr>
          <w:rFonts w:cs="Times New Roman" w:ascii="Times New Roman" w:hAnsi="Times New Roman"/>
          <w:b/>
          <w:sz w:val="22"/>
          <w:u w:val="single"/>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United States Peace Corps</w:t>
            </w:r>
          </w:p>
        </w:tc>
        <w:tc>
          <w:tcPr>
            <w:tcW w:w="4860" w:type="dxa"/>
            <w:tcBorders/>
          </w:tcPr>
          <w:p>
            <w:pPr>
              <w:pStyle w:val="Heading3"/>
              <w:ind w:hanging="0" w:start="0"/>
              <w:rPr>
                <w:sz w:val="22"/>
              </w:rPr>
            </w:pPr>
            <w:r>
              <w:rPr>
                <w:sz w:val="22"/>
              </w:rPr>
              <w:t>1987 - 1989</w:t>
            </w:r>
          </w:p>
        </w:tc>
      </w:tr>
      <w:tr>
        <w:trPr/>
        <w:tc>
          <w:tcPr>
            <w:tcW w:w="4860" w:type="dxa"/>
            <w:tcBorders/>
          </w:tcPr>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rFonts w:ascii="Times New Roman" w:hAnsi="Times New Roman" w:cs="Times New Roman"/>
                <w:b/>
                <w:sz w:val="22"/>
              </w:rPr>
            </w:pPr>
            <w:r>
              <w:rPr>
                <w:rFonts w:cs="Times New Roman" w:ascii="Times New Roman" w:hAnsi="Times New Roman"/>
                <w:b/>
                <w:sz w:val="22"/>
              </w:rPr>
              <w:t>Public Health Engineer</w:t>
            </w:r>
          </w:p>
        </w:tc>
        <w:tc>
          <w:tcPr>
            <w:tcW w:w="4860" w:type="dxa"/>
            <w:tcBorders/>
          </w:tcPr>
          <w:p>
            <w:pPr>
              <w:pStyle w:val="Heading3"/>
              <w:ind w:hanging="0" w:start="0"/>
              <w:rPr>
                <w:sz w:val="22"/>
              </w:rPr>
            </w:pPr>
            <w:r>
              <w:rPr>
                <w:sz w:val="22"/>
              </w:rPr>
              <w:t>Fiji</w:t>
            </w:r>
          </w:p>
        </w:tc>
      </w:tr>
    </w:tbl>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t>Completed two years of volunteer work in rural Fijian and Indian villages on the island of Vanua Levu.</w:t>
      </w:r>
    </w:p>
    <w:p>
      <w:pPr>
        <w:pStyle w:val="Normal"/>
        <w:numPr>
          <w:ilvl w:val="0"/>
          <w:numId w:val="8"/>
        </w:numPr>
        <w:tabs>
          <w:tab w:val="clear" w:pos="720"/>
          <w:tab w:val="left" w:pos="-720" w:leader="none"/>
          <w:tab w:val="left" w:pos="1" w:leader="none"/>
          <w:tab w:val="left" w:pos="36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22"/>
        </w:rPr>
      </w:pPr>
      <w:r>
        <w:rPr>
          <w:rFonts w:cs="Times New Roman" w:ascii="Times New Roman" w:hAnsi="Times New Roman"/>
          <w:sz w:val="22"/>
        </w:rPr>
        <w:t>Supervised the completion of several water distribution systems in rural villages, including engineering the initial designs, preparing cost estimates, raising funds from various sources, requisitioning materials, and overseeing construction.</w:t>
        <w:tab/>
        <w:tab/>
        <w:tab/>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tbl>
      <w:tblPr>
        <w:tblW w:w="9540" w:type="dxa"/>
        <w:jc w:val="start"/>
        <w:tblInd w:w="108" w:type="dxa"/>
        <w:tblLayout w:type="fixed"/>
        <w:tblCellMar>
          <w:top w:w="0" w:type="dxa"/>
          <w:start w:w="108" w:type="dxa"/>
          <w:bottom w:w="0" w:type="dxa"/>
          <w:end w:w="108" w:type="dxa"/>
        </w:tblCellMar>
      </w:tblPr>
      <w:tblGrid>
        <w:gridCol w:w="9540"/>
      </w:tblGrid>
      <w:tr>
        <w:trPr/>
        <w:tc>
          <w:tcPr>
            <w:tcW w:w="95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t>EDUCATION</w:t>
            </w:r>
          </w:p>
        </w:tc>
      </w:tr>
    </w:tbl>
    <w:p>
      <w:pPr>
        <w:pStyle w:val="Normal"/>
        <w:tabs>
          <w:tab w:val="clear" w:pos="720"/>
          <w:tab w:val="left" w:pos="-720"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890" w:start="189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Times New Roman" w:ascii="Times New Roman" w:hAnsi="Times New Roman"/>
          <w:b/>
          <w:sz w:val="22"/>
        </w:rPr>
        <w:t xml:space="preserve">The Johns Hopkins University School of Advanced International Studies (SAIS), </w:t>
      </w:r>
      <w:r>
        <w:rPr>
          <w:rFonts w:cs="Times New Roman" w:ascii="Times New Roman" w:hAnsi="Times New Roman"/>
          <w:sz w:val="22"/>
        </w:rPr>
        <w:t xml:space="preserve">Washington, D.C., </w:t>
      </w:r>
      <w:r>
        <w:rPr>
          <w:rFonts w:cs="Times New Roman" w:ascii="Times New Roman" w:hAnsi="Times New Roman"/>
          <w:b/>
          <w:sz w:val="22"/>
        </w:rPr>
        <w:t>M.A. International Relations</w:t>
      </w:r>
      <w:r>
        <w:rPr>
          <w:rFonts w:cs="Times New Roman" w:ascii="Times New Roman" w:hAnsi="Times New Roman"/>
          <w:sz w:val="22"/>
        </w:rPr>
        <w:t>, Awarded May 1994. Concentration: Energy, Environment, Science &amp; Technology. Focus: International Economics.  Funded 100% of educational costs with internships, loans, and 20-40 hours/week of work.</w:t>
      </w:r>
    </w:p>
    <w:p>
      <w:pPr>
        <w:pStyle w:val="Normal"/>
        <w:numPr>
          <w:ilvl w:val="0"/>
          <w:numId w:val="4"/>
        </w:numPr>
        <w:rPr>
          <w:rFonts w:ascii="Times New Roman" w:hAnsi="Times New Roman" w:cs="Times New Roman"/>
          <w:sz w:val="22"/>
        </w:rPr>
      </w:pPr>
      <w:r>
        <w:rPr>
          <w:rFonts w:cs="Times New Roman" w:ascii="Times New Roman" w:hAnsi="Times New Roman"/>
          <w:sz w:val="22"/>
        </w:rPr>
        <w:t>Vice President, SAIS Student Government Association 1993/1994.</w:t>
      </w:r>
    </w:p>
    <w:p>
      <w:pPr>
        <w:pStyle w:val="BodyText2"/>
        <w:numPr>
          <w:ilvl w:val="0"/>
          <w:numId w:val="3"/>
        </w:numPr>
        <w:rPr>
          <w:sz w:val="22"/>
        </w:rPr>
      </w:pPr>
      <w:r>
        <w:rPr>
          <w:sz w:val="22"/>
        </w:rPr>
        <w:t xml:space="preserve">SAIS student body representative to the Faculty. </w:t>
      </w:r>
    </w:p>
    <w:p>
      <w:pPr>
        <w:pStyle w:val="Normal"/>
        <w:tabs>
          <w:tab w:val="clear" w:pos="720"/>
          <w:tab w:val="left" w:pos="-72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Times New Roman" w:ascii="Times New Roman" w:hAnsi="Times New Roman"/>
          <w:b/>
          <w:sz w:val="22"/>
        </w:rPr>
        <w:t>Tulane University</w:t>
      </w:r>
      <w:r>
        <w:rPr>
          <w:rFonts w:cs="Times New Roman" w:ascii="Times New Roman" w:hAnsi="Times New Roman"/>
          <w:sz w:val="22"/>
        </w:rPr>
        <w:t xml:space="preserve">, New Orleans; </w:t>
      </w:r>
      <w:r>
        <w:rPr>
          <w:rFonts w:cs="Times New Roman" w:ascii="Times New Roman" w:hAnsi="Times New Roman"/>
          <w:b/>
          <w:sz w:val="22"/>
        </w:rPr>
        <w:t>B.S. Civil Engineering</w:t>
      </w:r>
      <w:r>
        <w:rPr>
          <w:rFonts w:cs="Times New Roman" w:ascii="Times New Roman" w:hAnsi="Times New Roman"/>
          <w:sz w:val="22"/>
        </w:rPr>
        <w:t>, May 1986.  Funded 100% of educational costs with internships, part and full time work, and loans.</w:t>
      </w:r>
    </w:p>
    <w:p>
      <w:pPr>
        <w:pStyle w:val="BodyText2"/>
        <w:numPr>
          <w:ilvl w:val="0"/>
          <w:numId w:val="2"/>
        </w:numPr>
        <w:rPr>
          <w:sz w:val="22"/>
        </w:rPr>
      </w:pPr>
      <w:r>
        <w:rPr>
          <w:sz w:val="22"/>
        </w:rPr>
        <w:t xml:space="preserve">President, Tulane University Chapter of the American Society of Civil Engineers. </w:t>
      </w:r>
    </w:p>
    <w:p>
      <w:pPr>
        <w:pStyle w:val="BodyText2"/>
        <w:numPr>
          <w:ilvl w:val="0"/>
          <w:numId w:val="7"/>
        </w:numPr>
        <w:rPr>
          <w:sz w:val="22"/>
        </w:rPr>
      </w:pPr>
      <w:r>
        <w:rPr>
          <w:sz w:val="22"/>
        </w:rPr>
        <w:t>Selected as the outstanding civil engineering student of 1986.</w:t>
      </w:r>
    </w:p>
    <w:p>
      <w:pPr>
        <w:pStyle w:val="Normal"/>
        <w:tabs>
          <w:tab w:val="left" w:pos="-720" w:leader="none"/>
          <w:tab w:val="left" w:pos="720" w:leader="none"/>
          <w:tab w:val="left" w:pos="1584"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890" w:start="1890" w:end="0"/>
        <w:jc w:val="both"/>
        <w:rPr>
          <w:rFonts w:ascii="Times New Roman" w:hAnsi="Times New Roman" w:cs="Times New Roman"/>
          <w:b/>
          <w:sz w:val="22"/>
        </w:rPr>
      </w:pPr>
      <w:r>
        <w:rPr>
          <w:rFonts w:cs="Times New Roman" w:ascii="Times New Roman" w:hAnsi="Times New Roman"/>
          <w:b/>
          <w:sz w:val="22"/>
        </w:rPr>
      </w:r>
    </w:p>
    <w:tbl>
      <w:tblPr>
        <w:tblW w:w="9540" w:type="dxa"/>
        <w:jc w:val="start"/>
        <w:tblInd w:w="108" w:type="dxa"/>
        <w:tblLayout w:type="fixed"/>
        <w:tblCellMar>
          <w:top w:w="0" w:type="dxa"/>
          <w:start w:w="108" w:type="dxa"/>
          <w:bottom w:w="0" w:type="dxa"/>
          <w:end w:w="108" w:type="dxa"/>
        </w:tblCellMar>
      </w:tblPr>
      <w:tblGrid>
        <w:gridCol w:w="9540"/>
      </w:tblGrid>
      <w:tr>
        <w:trPr/>
        <w:tc>
          <w:tcPr>
            <w:tcW w:w="9540" w:type="dxa"/>
            <w:tcBorders>
              <w:top w:val="single" w:sz="4" w:space="0" w:color="000000"/>
              <w:start w:val="single" w:sz="4" w:space="0" w:color="000000"/>
              <w:bottom w:val="single" w:sz="4" w:space="0" w:color="000000"/>
              <w:end w:val="single" w:sz="4" w:space="0" w:color="000000"/>
            </w:tcBorders>
          </w:tcPr>
          <w:p>
            <w:pPr>
              <w:pStyle w:val="Heading1"/>
              <w:tabs>
                <w:tab w:val="clear" w:pos="720"/>
                <w:tab w:val="clear" w:pos="1440"/>
                <w:tab w:val="clear" w:pos="1584"/>
                <w:tab w:val="clear" w:pos="1872"/>
                <w:tab w:val="left" w:pos="-720" w:leader="none"/>
                <w:tab w:val="left" w:pos="1"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end="0"/>
              <w:rPr>
                <w:sz w:val="22"/>
              </w:rPr>
            </w:pPr>
            <w:r>
              <w:rPr>
                <w:sz w:val="22"/>
              </w:rPr>
              <w:t>ETCETERA</w:t>
            </w:r>
          </w:p>
        </w:tc>
      </w:tr>
    </w:tbl>
    <w:p>
      <w:pPr>
        <w:pStyle w:val="Heading1"/>
        <w:tabs>
          <w:tab w:val="clear" w:pos="720"/>
          <w:tab w:val="clear" w:pos="1440"/>
          <w:tab w:val="clear" w:pos="1584"/>
          <w:tab w:val="clear" w:pos="1872"/>
          <w:tab w:val="left" w:pos="-720" w:leader="none"/>
          <w:tab w:val="left" w:pos="1"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Heading1"/>
        <w:tabs>
          <w:tab w:val="clear" w:pos="720"/>
          <w:tab w:val="clear" w:pos="1440"/>
          <w:tab w:val="clear" w:pos="1584"/>
          <w:tab w:val="clear" w:pos="1872"/>
          <w:tab w:val="left" w:pos="-720" w:leader="none"/>
          <w:tab w:val="left" w:pos="1" w:leader="none"/>
          <w:tab w:val="left" w:pos="1890"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2"/>
        </w:rPr>
        <w:t>Languages</w:t>
      </w:r>
      <w:r>
        <w:rPr>
          <w:b w:val="false"/>
          <w:sz w:val="22"/>
        </w:rPr>
        <w:t>:</w:t>
      </w:r>
      <w:r>
        <w:rPr>
          <w:sz w:val="22"/>
        </w:rPr>
        <w:t xml:space="preserve"> </w:t>
      </w:r>
      <w:r>
        <w:rPr>
          <w:b w:val="false"/>
          <w:sz w:val="22"/>
        </w:rPr>
        <w:t>Conversational Spanish, conversational Fijian, basic Thai, basic Japanese</w:t>
      </w:r>
    </w:p>
    <w:p>
      <w:pPr>
        <w:pStyle w:val="Normal"/>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b/>
          <w:sz w:val="22"/>
        </w:rPr>
      </w:pPr>
      <w:r>
        <w:rPr>
          <w:rFonts w:cs="Times New Roman" w:ascii="Times New Roman" w:hAnsi="Times New Roman"/>
          <w:b/>
          <w:sz w:val="22"/>
        </w:rPr>
      </w:r>
    </w:p>
    <w:sectPr>
      <w:headerReference w:type="default" r:id="rId2"/>
      <w:type w:val="nextPage"/>
      <w:pgSz w:w="12240" w:h="15840"/>
      <w:pgMar w:left="1296" w:right="1440" w:gutter="0" w:header="720" w:top="1152" w:footer="0" w:bottom="10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nePrinter">
    <w:charset w:val="00" w:characterSet="windows-1252"/>
    <w:family w:val="swiss"/>
    <w:pitch w:val="default"/>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89"/>
        </w:tabs>
        <w:ind w:start="789"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89"/>
        </w:tabs>
        <w:ind w:start="789"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inePrinter" w:hAnsi="LinePrinter" w:eastAsia="Times New Roman" w:cs="LinePrinter"/>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584" w:start="1584" w:end="0"/>
      <w:jc w:val="both"/>
      <w:outlineLvl w:val="0"/>
    </w:pPr>
    <w:rPr>
      <w:rFonts w:ascii="Times New Roman" w:hAnsi="Times New Roman" w:cs="Times New Roman"/>
      <w:b/>
      <w:sz w:val="28"/>
      <w:szCs w:val="24"/>
    </w:rPr>
  </w:style>
  <w:style w:type="paragraph" w:styleId="Heading2">
    <w:name w:val="heading 2"/>
    <w:basedOn w:val="Normal"/>
    <w:next w:val="Normal"/>
    <w:qFormat/>
    <w:pPr>
      <w:keepNext w:val="true"/>
      <w:numPr>
        <w:ilvl w:val="1"/>
        <w:numId w:val="1"/>
      </w:numPr>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outlineLvl w:val="1"/>
    </w:pPr>
    <w:rPr>
      <w:rFonts w:ascii="Times New Roman" w:hAnsi="Times New Roman" w:cs="Times New Roman"/>
      <w:b/>
      <w:sz w:val="28"/>
      <w:szCs w:val="24"/>
    </w:rPr>
  </w:style>
  <w:style w:type="paragraph" w:styleId="Heading3">
    <w:name w:val="heading 3"/>
    <w:basedOn w:val="Normal"/>
    <w:next w:val="Normal"/>
    <w:qFormat/>
    <w:pPr>
      <w:keepNext w:val="true"/>
      <w:numPr>
        <w:ilvl w:val="2"/>
        <w:numId w:val="1"/>
      </w:numPr>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2"/>
    </w:pPr>
    <w:rPr>
      <w:rFonts w:ascii="Times New Roman" w:hAnsi="Times New Roman" w:cs="Times New Roman"/>
      <w:b/>
      <w:sz w:val="24"/>
    </w:rPr>
  </w:style>
  <w:style w:type="paragraph" w:styleId="Heading4">
    <w:name w:val="heading 4"/>
    <w:basedOn w:val="Normal"/>
    <w:next w:val="BodyText"/>
    <w:qFormat/>
    <w:pPr>
      <w:numPr>
        <w:ilvl w:val="3"/>
        <w:numId w:val="1"/>
      </w:numPr>
      <w:ind w:hanging="0" w:start="360" w:end="0"/>
      <w:outlineLvl w:val="3"/>
    </w:pPr>
    <w:rPr>
      <w:sz w:val="24"/>
      <w:szCs w:val="24"/>
      <w:u w:val="single"/>
    </w:rPr>
  </w:style>
  <w:style w:type="paragraph" w:styleId="Heading5">
    <w:name w:val="heading 5"/>
    <w:basedOn w:val="Normal"/>
    <w:next w:val="BodyText"/>
    <w:qFormat/>
    <w:pPr>
      <w:numPr>
        <w:ilvl w:val="4"/>
        <w:numId w:val="1"/>
      </w:numPr>
      <w:ind w:hanging="0" w:start="720" w:end="0"/>
      <w:outlineLvl w:val="4"/>
    </w:pPr>
    <w:rPr>
      <w:b/>
      <w:bCs/>
    </w:rPr>
  </w:style>
  <w:style w:type="paragraph" w:styleId="Heading6">
    <w:name w:val="heading 6"/>
    <w:basedOn w:val="Normal"/>
    <w:next w:val="BodyText"/>
    <w:qFormat/>
    <w:pPr>
      <w:numPr>
        <w:ilvl w:val="5"/>
        <w:numId w:val="1"/>
      </w:numPr>
      <w:ind w:hanging="0" w:start="720" w:end="0"/>
      <w:outlineLvl w:val="5"/>
    </w:pPr>
    <w:rPr>
      <w:rFonts w:cs="Arial"/>
      <w:u w:val="single"/>
    </w:rPr>
  </w:style>
  <w:style w:type="paragraph" w:styleId="Heading7">
    <w:name w:val="heading 7"/>
    <w:basedOn w:val="Normal"/>
    <w:next w:val="BodyText"/>
    <w:qFormat/>
    <w:pPr>
      <w:numPr>
        <w:ilvl w:val="6"/>
        <w:numId w:val="1"/>
      </w:numPr>
      <w:ind w:hanging="0" w:start="720" w:end="0"/>
      <w:outlineLvl w:val="6"/>
    </w:pPr>
    <w:rPr>
      <w:i/>
      <w:iCs/>
    </w:rPr>
  </w:style>
  <w:style w:type="paragraph" w:styleId="Heading8">
    <w:name w:val="heading 8"/>
    <w:basedOn w:val="Normal"/>
    <w:next w:val="BodyText"/>
    <w:qFormat/>
    <w:pPr>
      <w:numPr>
        <w:ilvl w:val="7"/>
        <w:numId w:val="1"/>
      </w:numPr>
      <w:ind w:hanging="0" w:start="720" w:end="0"/>
      <w:outlineLvl w:val="7"/>
    </w:pPr>
    <w:rPr>
      <w:i/>
      <w:iCs/>
    </w:rPr>
  </w:style>
  <w:style w:type="paragraph" w:styleId="Heading9">
    <w:name w:val="heading 9"/>
    <w:basedOn w:val="Normal"/>
    <w:next w:val="BodyText"/>
    <w:qFormat/>
    <w:pPr>
      <w:numPr>
        <w:ilvl w:val="8"/>
        <w:numId w:val="1"/>
      </w:numPr>
      <w:ind w:hanging="0" w:start="720" w:end="0"/>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tabs>
        <w:tab w:val="left" w:pos="-720" w:leader="none"/>
        <w:tab w:val="left" w:pos="1" w:leader="none"/>
        <w:tab w:val="left" w:pos="720" w:leader="none"/>
        <w:tab w:val="left" w:pos="1440" w:leader="none"/>
        <w:tab w:val="left" w:pos="1584" w:leader="none"/>
        <w:tab w:val="left" w:pos="1872" w:leader="none"/>
        <w:tab w:val="left" w:pos="2160"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pPr>
    <w:rPr>
      <w:rFonts w:ascii="Times New Roman" w:hAnsi="Times New Roman" w:cs="Times New Roman"/>
      <w:b/>
      <w:sz w:val="30"/>
      <w:szCs w:val="30"/>
    </w:rPr>
  </w:style>
  <w:style w:type="paragraph" w:styleId="BodyText">
    <w:name w:val="Body Text"/>
    <w:basedOn w:val="Normal"/>
    <w:pPr>
      <w:tabs>
        <w:tab w:val="clear" w:pos="720"/>
        <w:tab w:val="left" w:pos="-720" w:leader="none"/>
        <w:tab w:val="left" w:pos="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rFonts w:ascii="Times New Roman" w:hAnsi="Times New Roman" w:cs="Times New Roman"/>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2000-11-01T17:32:00Z</dcterms:created>
  <dc:creator>Kerrick Knauth</dc:creator>
  <dc:description/>
  <dc:language>en-CA</dc:language>
  <cp:lastModifiedBy>Airspeed Translations</cp:lastModifiedBy>
  <cp:lastPrinted>2000-11-01T11:11:00Z</cp:lastPrinted>
  <dcterms:modified xsi:type="dcterms:W3CDTF">2000-11-08T15:32:00Z</dcterms:modified>
  <cp:revision>4</cp:revision>
  <dc:subject/>
  <dc:title>RICK KNAUTH</dc:title>
</cp:coreProperties>
</file>