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Caption"/>
        <w:rPr/>
      </w:pPr>
      <w:r>
        <w:rPr>
          <w:caps/>
        </w:rPr>
        <w:t>Diane E. Pritchard (S</w:t>
      </w:r>
      <w:r>
        <w:rPr/>
        <w:t xml:space="preserve">tate </w:t>
      </w:r>
      <w:r>
        <w:rPr>
          <w:caps/>
        </w:rPr>
        <w:t>B</w:t>
      </w:r>
      <w:r>
        <w:rPr/>
        <w:t>ar</w:t>
      </w:r>
      <w:r>
        <w:rPr>
          <w:caps/>
        </w:rPr>
        <w:t xml:space="preserve"> N</w:t>
      </w:r>
      <w:r>
        <w:rPr/>
        <w:t>o</w:t>
      </w:r>
      <w:r>
        <w:rPr>
          <w:caps/>
        </w:rPr>
        <w:t>. 96999)</w:t>
      </w:r>
    </w:p>
    <w:p>
      <w:pPr>
        <w:pStyle w:val="PleadingCaption"/>
        <w:rPr/>
      </w:pPr>
      <w:r>
        <w:rPr>
          <w:caps/>
        </w:rPr>
        <w:t>Morrison &amp; Foerster</w:t>
      </w:r>
      <w:r>
        <w:rPr>
          <w:smallCaps/>
        </w:rPr>
        <w:t xml:space="preserve"> llp</w:t>
      </w:r>
    </w:p>
    <w:p>
      <w:pPr>
        <w:pStyle w:val="PleadingCaption"/>
        <w:rPr/>
      </w:pPr>
      <w:r>
        <w:rPr/>
        <w:t>425 Market Street</w:t>
      </w:r>
    </w:p>
    <w:p>
      <w:pPr>
        <w:pStyle w:val="PleadingCaption"/>
        <w:rPr/>
      </w:pPr>
      <w:r>
        <w:rPr/>
        <w:t>San Francisco, California 94105-2482</w:t>
      </w:r>
    </w:p>
    <w:p>
      <w:pPr>
        <w:pStyle w:val="PleadingCaption"/>
        <w:rPr/>
      </w:pPr>
      <w:r>
        <w:rPr/>
        <w:t>Telephone:  (415) 268-7000</w:t>
      </w:r>
    </w:p>
    <w:p>
      <w:pPr>
        <w:pStyle w:val="PleadingCaption"/>
        <w:rPr/>
      </w:pPr>
      <w:r>
        <w:rPr/>
        <w:t>Facsimile:  (415) 268-7522</w:t>
      </w:r>
    </w:p>
    <w:p>
      <w:pPr>
        <w:pStyle w:val="PleadingCaption"/>
        <w:rPr/>
      </w:pPr>
      <w:r>
        <w:rPr/>
      </w:r>
    </w:p>
    <w:p>
      <w:pPr>
        <w:pStyle w:val="PleadingCaption"/>
        <w:rPr/>
      </w:pPr>
      <w:r>
        <w:rPr>
          <w:caps/>
        </w:rPr>
        <w:t>GORDON P. ERSPAMER (</w:t>
      </w:r>
      <w:r>
        <w:rPr/>
        <w:t>State Bar No</w:t>
      </w:r>
      <w:r>
        <w:rPr>
          <w:caps/>
        </w:rPr>
        <w:t>. 83364)</w:t>
      </w:r>
    </w:p>
    <w:p>
      <w:pPr>
        <w:pStyle w:val="PleadingCaption"/>
        <w:rPr/>
      </w:pPr>
      <w:r>
        <w:rPr>
          <w:caps/>
        </w:rPr>
        <w:t>Andrew B. Sabey (</w:t>
      </w:r>
      <w:r>
        <w:rPr/>
        <w:t>State Bar No</w:t>
      </w:r>
      <w:r>
        <w:rPr>
          <w:caps/>
        </w:rPr>
        <w:t>. 160416)</w:t>
      </w:r>
    </w:p>
    <w:p>
      <w:pPr>
        <w:pStyle w:val="PleadingCaption"/>
        <w:rPr>
          <w:caps/>
        </w:rPr>
      </w:pPr>
      <w:r>
        <w:rPr>
          <w:caps/>
        </w:rPr>
        <w:t xml:space="preserve">MORRISON &amp; FOERSTER </w:t>
      </w:r>
      <w:r>
        <w:rPr>
          <w:smallCaps/>
        </w:rPr>
        <w:t>llp</w:t>
      </w:r>
    </w:p>
    <w:p>
      <w:pPr>
        <w:pStyle w:val="PleadingCaption"/>
        <w:rPr/>
      </w:pPr>
      <w:r>
        <w:rPr>
          <w:caps/>
        </w:rPr>
        <w:t>101</w:t>
      </w:r>
      <w:r>
        <w:rPr/>
        <w:t xml:space="preserve"> Ygnacio Valley Road, Suite 450</w:t>
      </w:r>
    </w:p>
    <w:p>
      <w:pPr>
        <w:pStyle w:val="PleadingCaption"/>
        <w:rPr/>
      </w:pPr>
      <w:r>
        <w:rPr/>
        <w:t>P.O. Box 8130</w:t>
      </w:r>
    </w:p>
    <w:p>
      <w:pPr>
        <w:pStyle w:val="PleadingCaption"/>
        <w:rPr>
          <w:caps/>
        </w:rPr>
      </w:pPr>
      <w:r>
        <w:rPr/>
        <w:t>Walnut Creek, California  94596-8130</w:t>
      </w:r>
    </w:p>
    <w:p>
      <w:pPr>
        <w:pStyle w:val="PleadingCaption"/>
        <w:rPr/>
      </w:pPr>
      <w:r>
        <w:rPr/>
        <w:t xml:space="preserve">Telephone:  </w:t>
      </w:r>
      <w:r>
        <w:rPr>
          <w:caps/>
        </w:rPr>
        <w:t>(925) 295-3300</w:t>
      </w:r>
    </w:p>
    <w:p>
      <w:pPr>
        <w:pStyle w:val="PleadingCaption"/>
        <w:rPr/>
      </w:pPr>
      <w:r>
        <w:rPr/>
        <w:t>Facsimile:  (925) 946-9912</w:t>
      </w:r>
    </w:p>
    <w:p>
      <w:pPr>
        <w:pStyle w:val="PleadingCaption"/>
        <w:rPr>
          <w:caps/>
        </w:rPr>
      </w:pPr>
      <w:r>
        <w:rPr>
          <w:caps/>
        </w:rPr>
      </w:r>
    </w:p>
    <w:p>
      <w:pPr>
        <w:pStyle w:val="PleadingCaption"/>
        <w:rPr/>
      </w:pPr>
      <w:r>
        <w:rPr/>
        <w:t>Attorneys for Plaintiff</w:t>
      </w:r>
    </w:p>
    <w:p>
      <w:pPr>
        <w:pStyle w:val="Client"/>
        <w:rPr/>
      </w:pPr>
      <w:r>
        <w:rPr/>
        <w:t>AVISTA ENERGY, INC.</w:t>
      </w:r>
    </w:p>
    <w:p>
      <w:pPr>
        <w:pStyle w:val="PleadingCaption"/>
        <w:rPr/>
      </w:pPr>
      <w:r>
        <w:rPr/>
      </w:r>
    </w:p>
    <w:p>
      <w:pPr>
        <w:pStyle w:val="PleadingCaption"/>
        <w:rPr/>
      </w:pPr>
      <w:r>
        <w:rPr/>
      </w:r>
    </w:p>
    <w:p>
      <w:pPr>
        <w:pStyle w:val="Court"/>
        <w:rPr/>
      </w:pPr>
      <w:r>
        <w:rPr/>
        <w:t>UNITED STATES DISTRICT COURT</w:t>
        <w:br/>
        <w:br/>
        <w:t>CENTRAL DISTRICT OF CALIFORNIA</w:t>
      </w:r>
    </w:p>
    <w:p>
      <w:pPr>
        <w:pStyle w:val="PleadingCaption"/>
        <w:rPr/>
      </w:pPr>
      <w:r>
        <w:rPr/>
      </w:r>
    </w:p>
    <w:p>
      <w:pPr>
        <w:pStyle w:val="PleadingCaption"/>
        <w:rPr/>
      </w:pPr>
      <w:r>
        <w:rPr/>
      </w:r>
    </w:p>
    <w:p>
      <w:pPr>
        <w:pStyle w:val="PleadingCaption"/>
        <w:rPr/>
      </w:pPr>
      <w:r>
        <w:rPr/>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bottom w:val="single" w:sz="6" w:space="0" w:color="000000"/>
              <w:end w:val="single" w:sz="6" w:space="0" w:color="000000"/>
            </w:tcBorders>
          </w:tcPr>
          <w:p>
            <w:pPr>
              <w:pStyle w:val="PleadingCaption"/>
              <w:tabs>
                <w:tab w:val="clear" w:pos="2707"/>
                <w:tab w:val="left" w:pos="1066" w:leader="none"/>
                <w:tab w:val="left" w:pos="2340" w:leader="none"/>
                <w:tab w:val="right" w:pos="9360" w:leader="none"/>
              </w:tabs>
              <w:rPr>
                <w:caps/>
              </w:rPr>
            </w:pPr>
            <w:r>
              <w:rPr>
                <w:caps/>
              </w:rPr>
              <w:t xml:space="preserve">avista energy, Inc., </w:t>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left" w:pos="2970" w:leader="none"/>
                <w:tab w:val="right" w:pos="9360" w:leader="none"/>
              </w:tabs>
              <w:rPr/>
            </w:pPr>
            <w:r>
              <w:rPr/>
              <w:tab/>
              <w:tab/>
              <w:t>Plaintiff,</w:t>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450" w:leader="none"/>
                <w:tab w:val="left" w:pos="1066" w:leader="none"/>
                <w:tab w:val="left" w:pos="2340" w:leader="none"/>
                <w:tab w:val="right" w:pos="9360" w:leader="none"/>
              </w:tabs>
              <w:rPr/>
            </w:pPr>
            <w:r>
              <w:rPr/>
              <w:tab/>
              <w:t>vs.</w:t>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right" w:pos="9360" w:leader="none"/>
              </w:tabs>
              <w:rPr/>
            </w:pPr>
            <w:r>
              <w:rPr/>
              <w:t>CALIFORNIA POWER EXCHANGE CORPORATION,</w:t>
            </w:r>
          </w:p>
          <w:p>
            <w:pPr>
              <w:pStyle w:val="PleadingCaption"/>
              <w:tabs>
                <w:tab w:val="clear" w:pos="2707"/>
                <w:tab w:val="left" w:pos="1066" w:leader="none"/>
                <w:tab w:val="left" w:pos="2340" w:leader="none"/>
                <w:tab w:val="left" w:pos="3060" w:leader="none"/>
                <w:tab w:val="right" w:pos="9360" w:leader="none"/>
              </w:tabs>
              <w:rPr/>
            </w:pPr>
            <w:r>
              <w:rPr/>
            </w:r>
          </w:p>
          <w:p>
            <w:pPr>
              <w:pStyle w:val="PleadingCaption"/>
              <w:tabs>
                <w:tab w:val="clear" w:pos="2707"/>
                <w:tab w:val="left" w:pos="1066" w:leader="none"/>
                <w:tab w:val="left" w:pos="2340" w:leader="none"/>
                <w:tab w:val="left" w:pos="3060" w:leader="none"/>
                <w:tab w:val="right" w:pos="9360" w:leader="none"/>
              </w:tabs>
              <w:rPr/>
            </w:pPr>
            <w:r>
              <w:rPr/>
              <w:tab/>
              <w:tab/>
              <w:t>Defendant.</w:t>
            </w:r>
          </w:p>
          <w:p>
            <w:pPr>
              <w:pStyle w:val="PleadingCaption"/>
              <w:rPr/>
            </w:pPr>
            <w:r>
              <w:rPr/>
            </w:r>
          </w:p>
        </w:tc>
        <w:tc>
          <w:tcPr>
            <w:tcW w:w="4518" w:type="dxa"/>
            <w:tcBorders/>
          </w:tcPr>
          <w:p>
            <w:pPr>
              <w:pStyle w:val="PleadingCaption"/>
              <w:tabs>
                <w:tab w:val="clear" w:pos="1066"/>
                <w:tab w:val="clear" w:pos="2707"/>
                <w:tab w:val="left" w:pos="1152" w:leader="none"/>
                <w:tab w:val="right" w:pos="9360" w:leader="none"/>
              </w:tabs>
              <w:ind w:start="162" w:end="0"/>
              <w:rPr/>
            </w:pPr>
            <w:r>
              <w:rPr/>
              <w:t>NO. CV 01-01244 MMM (Mcx)</w:t>
            </w:r>
          </w:p>
          <w:p>
            <w:pPr>
              <w:pStyle w:val="PleadingCaption"/>
              <w:tabs>
                <w:tab w:val="clear" w:pos="1066"/>
                <w:tab w:val="clear" w:pos="2707"/>
                <w:tab w:val="left" w:pos="1152" w:leader="none"/>
                <w:tab w:val="right" w:pos="9360" w:leader="none"/>
              </w:tabs>
              <w:ind w:start="162" w:end="0"/>
              <w:rPr>
                <w:sz w:val="22"/>
              </w:rPr>
            </w:pPr>
            <w:r>
              <w:rPr>
                <w:sz w:val="22"/>
              </w:rPr>
              <w:t>The Honorable Margaret M. Morrow</w:t>
            </w:r>
          </w:p>
          <w:p>
            <w:pPr>
              <w:pStyle w:val="PleadingCaption"/>
              <w:tabs>
                <w:tab w:val="clear" w:pos="1066"/>
                <w:tab w:val="clear" w:pos="2707"/>
                <w:tab w:val="left" w:pos="1152" w:leader="none"/>
                <w:tab w:val="right" w:pos="9360" w:leader="none"/>
              </w:tabs>
              <w:ind w:start="162" w:end="0"/>
              <w:rPr/>
            </w:pPr>
            <w:r>
              <w:rPr/>
            </w:r>
          </w:p>
          <w:p>
            <w:pPr>
              <w:pStyle w:val="PleadingCaption"/>
              <w:tabs>
                <w:tab w:val="clear" w:pos="1066"/>
                <w:tab w:val="left" w:pos="1152" w:leader="none"/>
                <w:tab w:val="left" w:pos="2707" w:leader="none"/>
                <w:tab w:val="right" w:pos="9360" w:leader="none"/>
              </w:tabs>
              <w:ind w:start="162" w:end="0"/>
              <w:rPr>
                <w:b/>
                <w:caps/>
              </w:rPr>
            </w:pPr>
            <w:r>
              <w:rPr>
                <w:b/>
                <w:caps/>
              </w:rPr>
              <w:t>Avista energy’s REQUEST FOR JUDICIAL NOTICE IN SUPPORT OF EX PARTE APPLICATION FOR TEMPORARY RESTRAINING ORDER AND motion for PRELIMINARY INJUNCTION</w:t>
            </w:r>
          </w:p>
          <w:p>
            <w:pPr>
              <w:pStyle w:val="PleadingCaption"/>
              <w:tabs>
                <w:tab w:val="clear" w:pos="1066"/>
                <w:tab w:val="left" w:pos="1152" w:leader="none"/>
                <w:tab w:val="left" w:pos="2707" w:leader="none"/>
                <w:tab w:val="right" w:pos="9360" w:leader="none"/>
              </w:tabs>
              <w:ind w:start="162" w:end="0"/>
              <w:rPr>
                <w:b/>
                <w:caps/>
              </w:rPr>
            </w:pPr>
            <w:r>
              <w:rPr>
                <w:b/>
                <w:caps/>
              </w:rPr>
            </w:r>
          </w:p>
          <w:p>
            <w:pPr>
              <w:pStyle w:val="PleadingCaption"/>
              <w:tabs>
                <w:tab w:val="clear" w:pos="1066"/>
                <w:tab w:val="clear" w:pos="2707"/>
                <w:tab w:val="left" w:pos="1422" w:leader="none"/>
                <w:tab w:val="right" w:pos="9360" w:leader="none"/>
              </w:tabs>
              <w:ind w:start="162" w:end="0"/>
              <w:rPr/>
            </w:pPr>
            <w:r>
              <w:rPr>
                <w:u w:val="single"/>
              </w:rPr>
              <w:t>Hearing</w:t>
            </w:r>
            <w:r>
              <w:rPr/>
              <w:t>: To Be Determined</w:t>
            </w:r>
          </w:p>
        </w:tc>
      </w:tr>
    </w:tbl>
    <w:p>
      <w:pPr>
        <w:pStyle w:val="Normal"/>
        <w:rPr/>
      </w:pPr>
      <w:r>
        <w:rPr/>
      </w:r>
      <w:bookmarkStart w:id="0" w:name="Appeals"/>
      <w:bookmarkStart w:id="1" w:name="party1"/>
      <w:bookmarkStart w:id="2" w:name="Appeals"/>
      <w:bookmarkStart w:id="3" w:name="party1"/>
      <w:bookmarkEnd w:id="2"/>
      <w:bookmarkEnd w:id="3"/>
    </w:p>
    <w:p>
      <w:pPr>
        <w:pStyle w:val="BodyText"/>
        <w:spacing w:before="240" w:after="0"/>
        <w:rPr/>
      </w:pPr>
      <w:r>
        <w:rPr/>
        <w:t xml:space="preserve">Plaintiff Avista Energy, Inc. (“Avista Energy”) requests that the Court take judicial notice, pursuant to Federal Rule of Evidence 201, of the documents described below.  This Request is made in conjunction with Avista Energy’s </w:t>
      </w:r>
      <w:r>
        <w:rPr>
          <w:i/>
        </w:rPr>
        <w:t xml:space="preserve">Ex Parte </w:t>
      </w:r>
      <w:r>
        <w:rPr/>
        <w:t>Application for Temporary Restraining Order and Motion for Preliminary Injunction, filed herewith.</w:t>
      </w:r>
    </w:p>
    <w:p>
      <w:pPr>
        <w:pStyle w:val="BodyText"/>
        <w:rPr/>
      </w:pPr>
      <w:r>
        <w:rPr/>
        <w:t>Accordingly, Avista Energy requests that the Court take judicial notice of the following documents.  For the sake of judicial economy, we have included only relevant excerpts of documents, where practical.</w:t>
      </w:r>
    </w:p>
    <w:p>
      <w:pPr>
        <w:pStyle w:val="BodyText"/>
        <w:numPr>
          <w:ilvl w:val="0"/>
          <w:numId w:val="2"/>
        </w:numPr>
        <w:ind w:hanging="720" w:start="1440" w:end="720"/>
        <w:rPr/>
      </w:pPr>
      <w:r>
        <w:rPr/>
        <w:t>California State Assembly Joint Resolution, No. 77, dated August 30, 2000.</w:t>
      </w:r>
    </w:p>
    <w:p>
      <w:pPr>
        <w:pStyle w:val="BodyText"/>
        <w:numPr>
          <w:ilvl w:val="0"/>
          <w:numId w:val="2"/>
        </w:numPr>
        <w:ind w:hanging="720" w:start="1440" w:end="720"/>
        <w:rPr/>
      </w:pPr>
      <w:r>
        <w:rPr/>
        <w:t>Capital Markets Report, Dow Jones &amp; Co., Inc., dated September 14, 2000 (indicating that Moody’s has downgraded PG&amp;E’s outlook).</w:t>
      </w:r>
    </w:p>
    <w:p>
      <w:pPr>
        <w:pStyle w:val="BodyText"/>
        <w:numPr>
          <w:ilvl w:val="0"/>
          <w:numId w:val="2"/>
        </w:numPr>
        <w:ind w:hanging="720" w:start="1440" w:end="720"/>
        <w:rPr/>
      </w:pPr>
      <w:r>
        <w:rPr/>
        <w:t>PG&amp;E Emergency Petition dated October 4, 2000.</w:t>
      </w:r>
    </w:p>
    <w:p>
      <w:pPr>
        <w:pStyle w:val="BodyText"/>
        <w:numPr>
          <w:ilvl w:val="0"/>
          <w:numId w:val="2"/>
        </w:numPr>
        <w:ind w:hanging="720" w:start="1440" w:end="720"/>
        <w:rPr/>
      </w:pPr>
      <w:r>
        <w:rPr/>
        <w:t>PG&amp;E Section 8-K filings with The Securities Exchange Commission, as follows:</w:t>
      </w:r>
    </w:p>
    <w:p>
      <w:pPr>
        <w:pStyle w:val="BodyText"/>
        <w:numPr>
          <w:ilvl w:val="1"/>
          <w:numId w:val="2"/>
        </w:numPr>
        <w:tabs>
          <w:tab w:val="clear" w:pos="720"/>
          <w:tab w:val="left" w:pos="3240" w:leader="none"/>
        </w:tabs>
        <w:spacing w:lineRule="auto" w:line="240" w:before="240" w:after="120"/>
        <w:ind w:hanging="720" w:start="2520" w:end="720"/>
        <w:rPr/>
      </w:pPr>
      <w:r>
        <w:rPr/>
        <w:t>October 25, 2000</w:t>
      </w:r>
    </w:p>
    <w:p>
      <w:pPr>
        <w:pStyle w:val="BodyText"/>
        <w:numPr>
          <w:ilvl w:val="1"/>
          <w:numId w:val="2"/>
        </w:numPr>
        <w:tabs>
          <w:tab w:val="clear" w:pos="720"/>
          <w:tab w:val="left" w:pos="3240" w:leader="none"/>
        </w:tabs>
        <w:spacing w:lineRule="auto" w:line="240" w:before="120" w:after="120"/>
        <w:ind w:hanging="720" w:start="2520" w:end="720"/>
        <w:rPr/>
      </w:pPr>
      <w:r>
        <w:rPr/>
        <w:t>November 24, 2000</w:t>
      </w:r>
    </w:p>
    <w:p>
      <w:pPr>
        <w:pStyle w:val="BodyText"/>
        <w:numPr>
          <w:ilvl w:val="1"/>
          <w:numId w:val="2"/>
        </w:numPr>
        <w:tabs>
          <w:tab w:val="clear" w:pos="720"/>
          <w:tab w:val="left" w:pos="3240" w:leader="none"/>
        </w:tabs>
        <w:spacing w:lineRule="auto" w:line="240" w:before="120" w:after="120"/>
        <w:ind w:hanging="720" w:start="2520" w:end="720"/>
        <w:rPr/>
      </w:pPr>
      <w:r>
        <w:rPr/>
        <w:t>December 8, 2000</w:t>
      </w:r>
    </w:p>
    <w:p>
      <w:pPr>
        <w:pStyle w:val="BodyText"/>
        <w:numPr>
          <w:ilvl w:val="1"/>
          <w:numId w:val="2"/>
        </w:numPr>
        <w:tabs>
          <w:tab w:val="clear" w:pos="720"/>
          <w:tab w:val="left" w:pos="3240" w:leader="none"/>
        </w:tabs>
        <w:spacing w:lineRule="auto" w:line="240" w:before="120" w:after="120"/>
        <w:ind w:hanging="720" w:start="2520" w:end="720"/>
        <w:rPr/>
      </w:pPr>
      <w:r>
        <w:rPr/>
        <w:t>December 19, 2000</w:t>
      </w:r>
    </w:p>
    <w:p>
      <w:pPr>
        <w:pStyle w:val="BodyText"/>
        <w:numPr>
          <w:ilvl w:val="1"/>
          <w:numId w:val="2"/>
        </w:numPr>
        <w:tabs>
          <w:tab w:val="clear" w:pos="720"/>
          <w:tab w:val="left" w:pos="3240" w:leader="none"/>
        </w:tabs>
        <w:spacing w:lineRule="auto" w:line="240" w:before="120" w:after="120"/>
        <w:ind w:hanging="720" w:start="2520" w:end="720"/>
        <w:rPr/>
      </w:pPr>
      <w:r>
        <w:rPr/>
        <w:t>December 22, 2000</w:t>
      </w:r>
    </w:p>
    <w:p>
      <w:pPr>
        <w:pStyle w:val="BodyText"/>
        <w:numPr>
          <w:ilvl w:val="1"/>
          <w:numId w:val="2"/>
        </w:numPr>
        <w:tabs>
          <w:tab w:val="clear" w:pos="720"/>
          <w:tab w:val="left" w:pos="3240" w:leader="none"/>
        </w:tabs>
        <w:spacing w:lineRule="auto" w:line="240" w:before="120" w:after="120"/>
        <w:ind w:hanging="720" w:start="2520" w:end="720"/>
        <w:rPr/>
      </w:pPr>
      <w:r>
        <w:rPr/>
        <w:t>January 2, 2001</w:t>
      </w:r>
    </w:p>
    <w:p>
      <w:pPr>
        <w:pStyle w:val="BodyText"/>
        <w:numPr>
          <w:ilvl w:val="1"/>
          <w:numId w:val="2"/>
        </w:numPr>
        <w:tabs>
          <w:tab w:val="clear" w:pos="720"/>
          <w:tab w:val="left" w:pos="3240" w:leader="none"/>
        </w:tabs>
        <w:spacing w:lineRule="auto" w:line="240" w:before="120" w:after="120"/>
        <w:ind w:hanging="720" w:start="2520" w:end="720"/>
        <w:rPr/>
      </w:pPr>
      <w:r>
        <w:rPr/>
        <w:t>January 4, 2001</w:t>
      </w:r>
    </w:p>
    <w:p>
      <w:pPr>
        <w:pStyle w:val="BodyText"/>
        <w:numPr>
          <w:ilvl w:val="1"/>
          <w:numId w:val="2"/>
        </w:numPr>
        <w:tabs>
          <w:tab w:val="clear" w:pos="720"/>
          <w:tab w:val="left" w:pos="3240" w:leader="none"/>
        </w:tabs>
        <w:spacing w:lineRule="auto" w:line="240" w:before="120" w:after="120"/>
        <w:ind w:hanging="720" w:start="2520" w:end="720"/>
        <w:rPr/>
      </w:pPr>
      <w:r>
        <w:rPr/>
        <w:t>January 5, 2001</w:t>
      </w:r>
    </w:p>
    <w:p>
      <w:pPr>
        <w:pStyle w:val="BodyText"/>
        <w:numPr>
          <w:ilvl w:val="1"/>
          <w:numId w:val="2"/>
        </w:numPr>
        <w:tabs>
          <w:tab w:val="clear" w:pos="720"/>
          <w:tab w:val="left" w:pos="3240" w:leader="none"/>
        </w:tabs>
        <w:spacing w:lineRule="auto" w:line="240" w:before="120" w:after="120"/>
        <w:ind w:hanging="720" w:start="2520" w:end="720"/>
        <w:rPr/>
      </w:pPr>
      <w:r>
        <w:rPr/>
        <w:t>January 10, 2001</w:t>
      </w:r>
    </w:p>
    <w:p>
      <w:pPr>
        <w:pStyle w:val="BodyText"/>
        <w:numPr>
          <w:ilvl w:val="1"/>
          <w:numId w:val="2"/>
        </w:numPr>
        <w:tabs>
          <w:tab w:val="clear" w:pos="720"/>
          <w:tab w:val="left" w:pos="3240" w:leader="none"/>
        </w:tabs>
        <w:spacing w:lineRule="auto" w:line="240" w:before="120" w:after="120"/>
        <w:ind w:hanging="720" w:start="2520" w:end="720"/>
        <w:rPr/>
      </w:pPr>
      <w:r>
        <w:rPr/>
        <w:t>January 17, 2001</w:t>
      </w:r>
    </w:p>
    <w:p>
      <w:pPr>
        <w:pStyle w:val="BodyText"/>
        <w:numPr>
          <w:ilvl w:val="1"/>
          <w:numId w:val="2"/>
        </w:numPr>
        <w:tabs>
          <w:tab w:val="clear" w:pos="720"/>
          <w:tab w:val="left" w:pos="3240" w:leader="none"/>
        </w:tabs>
        <w:spacing w:lineRule="auto" w:line="240" w:before="120" w:after="120"/>
        <w:ind w:hanging="720" w:start="2520" w:end="720"/>
        <w:rPr/>
      </w:pPr>
      <w:r>
        <w:rPr/>
        <w:t>February 1, 2001</w:t>
      </w:r>
    </w:p>
    <w:p>
      <w:pPr>
        <w:pStyle w:val="BodyText"/>
        <w:numPr>
          <w:ilvl w:val="0"/>
          <w:numId w:val="2"/>
        </w:numPr>
        <w:ind w:hanging="720" w:start="1440" w:end="720"/>
        <w:rPr/>
      </w:pPr>
      <w:r>
        <w:rPr>
          <w:i/>
        </w:rPr>
        <w:t>PG&amp;E v. Lynch, et al.</w:t>
      </w:r>
      <w:r>
        <w:rPr/>
        <w:t>, filed in the U.S. District Court (N.D. Cal.) Case No. C</w:t>
        <w:noBreakHyphen/>
        <w:t xml:space="preserve">004128.  </w:t>
      </w:r>
      <w:r>
        <w:rPr>
          <w:i/>
        </w:rPr>
        <w:t>See esp.</w:t>
      </w:r>
      <w:r>
        <w:rPr/>
        <w:t xml:space="preserve"> ¶¶ 31-32.</w:t>
      </w:r>
    </w:p>
    <w:p>
      <w:pPr>
        <w:pStyle w:val="BodyText"/>
        <w:numPr>
          <w:ilvl w:val="0"/>
          <w:numId w:val="2"/>
        </w:numPr>
        <w:ind w:hanging="720" w:start="1440" w:end="720"/>
        <w:rPr/>
      </w:pPr>
      <w:r>
        <w:rPr/>
        <w:t>“</w:t>
      </w:r>
      <w:r>
        <w:rPr/>
        <w:t>Utility Financial Condition” PG&amp;E Emergency Application for Rate Stabilization, A. 00</w:t>
        <w:noBreakHyphen/>
        <w:t>11</w:t>
        <w:noBreakHyphen/>
        <w:t>056, Chapter 3, p. 3</w:t>
        <w:noBreakHyphen/>
        <w:t>1.</w:t>
      </w:r>
    </w:p>
    <w:p>
      <w:pPr>
        <w:pStyle w:val="BodyText"/>
        <w:numPr>
          <w:ilvl w:val="0"/>
          <w:numId w:val="2"/>
        </w:numPr>
        <w:ind w:hanging="720" w:start="1440" w:end="720"/>
        <w:rPr/>
      </w:pPr>
      <w:r>
        <w:rPr/>
        <w:t>Declaration of Peter A. Darbee in Support of Emergency Rehearing Request, FERC Docket No. EL</w:t>
        <w:noBreakHyphen/>
        <w:t xml:space="preserve">00-95-000, </w:t>
      </w:r>
      <w:r>
        <w:rPr>
          <w:i/>
        </w:rPr>
        <w:t>et al.</w:t>
      </w:r>
    </w:p>
    <w:p>
      <w:pPr>
        <w:pStyle w:val="BodyText"/>
        <w:numPr>
          <w:ilvl w:val="0"/>
          <w:numId w:val="2"/>
        </w:numPr>
        <w:ind w:hanging="720" w:start="1440" w:end="720"/>
        <w:rPr/>
      </w:pPr>
      <w:r>
        <w:rPr/>
        <w:t>Emergency Application of PG&amp;E to Adopt Rate Stabilization Plan, dated December 22, 2000 at p. 1.</w:t>
      </w:r>
    </w:p>
    <w:p>
      <w:pPr>
        <w:pStyle w:val="BodyText"/>
        <w:numPr>
          <w:ilvl w:val="0"/>
          <w:numId w:val="2"/>
        </w:numPr>
        <w:ind w:hanging="720" w:start="1440" w:end="720"/>
        <w:rPr/>
      </w:pPr>
      <w:r>
        <w:rPr/>
        <w:t>PG&amp;E Supplemental Testimony; Rate Stabilization Plan, dated December 26, 2000 (as revised Dec. 28, 2000) at pp. 2</w:t>
        <w:noBreakHyphen/>
        <w:t>3.</w:t>
      </w:r>
    </w:p>
    <w:p>
      <w:pPr>
        <w:pStyle w:val="BodyText"/>
        <w:numPr>
          <w:ilvl w:val="0"/>
          <w:numId w:val="2"/>
        </w:numPr>
        <w:ind w:hanging="720" w:start="1440" w:end="720"/>
        <w:rPr/>
      </w:pPr>
      <w:r>
        <w:rPr>
          <w:i/>
        </w:rPr>
        <w:t>Edison v. Lynch, et al.</w:t>
      </w:r>
      <w:r>
        <w:rPr/>
        <w:t xml:space="preserve">, filed in U.S. District Court (C.D. Cal.), Case No. 00-12056.  </w:t>
      </w:r>
      <w:r>
        <w:rPr>
          <w:i/>
        </w:rPr>
        <w:t>See esp.</w:t>
      </w:r>
      <w:r>
        <w:rPr/>
        <w:t xml:space="preserve"> ¶ 22.</w:t>
      </w:r>
    </w:p>
    <w:p>
      <w:pPr>
        <w:pStyle w:val="BodyText"/>
        <w:numPr>
          <w:ilvl w:val="0"/>
          <w:numId w:val="2"/>
        </w:numPr>
        <w:ind w:hanging="720" w:start="1440" w:end="720"/>
        <w:rPr/>
      </w:pPr>
      <w:r>
        <w:rPr/>
        <w:t>Edison Application for Rate Stabilization Plan, A. 00</w:t>
        <w:noBreakHyphen/>
        <w:t>11</w:t>
        <w:noBreakHyphen/>
        <w:t>038, November 16, 2000 at pp. 2, 5.</w:t>
      </w:r>
    </w:p>
    <w:p>
      <w:pPr>
        <w:pStyle w:val="BodyText"/>
        <w:numPr>
          <w:ilvl w:val="0"/>
          <w:numId w:val="2"/>
        </w:numPr>
        <w:ind w:hanging="720" w:start="1440" w:end="720"/>
        <w:rPr/>
      </w:pPr>
      <w:r>
        <w:rPr/>
        <w:t>Declaration of James Scilacci in support of Emergency Request for Rehearing and Request for Expedited Action of Southern California Edison, December 18, 2000 (</w:t>
      </w:r>
      <w:r>
        <w:rPr>
          <w:i/>
        </w:rPr>
        <w:t xml:space="preserve">See </w:t>
      </w:r>
      <w:r>
        <w:rPr/>
        <w:t>¶¶ 5, 7, 12, 14).</w:t>
      </w:r>
    </w:p>
    <w:p>
      <w:pPr>
        <w:pStyle w:val="BodyText"/>
        <w:numPr>
          <w:ilvl w:val="0"/>
          <w:numId w:val="2"/>
        </w:numPr>
        <w:ind w:hanging="720" w:start="1440" w:end="720"/>
        <w:rPr/>
      </w:pPr>
      <w:r>
        <w:rPr/>
        <w:t>Edison International Section 8</w:t>
        <w:noBreakHyphen/>
        <w:t>K filing with The Securities Exchange Commission, dated December 27, 2000.</w:t>
      </w:r>
    </w:p>
    <w:p>
      <w:pPr>
        <w:pStyle w:val="BodyText"/>
        <w:numPr>
          <w:ilvl w:val="0"/>
          <w:numId w:val="2"/>
        </w:numPr>
        <w:ind w:hanging="720" w:start="1440" w:end="720"/>
        <w:rPr/>
      </w:pPr>
      <w:r>
        <w:rPr/>
        <w:t>Interim Opinion Regarding Emergency Requests for Rate Increases, D. 01</w:t>
        <w:noBreakHyphen/>
        <w:t>01</w:t>
        <w:noBreakHyphen/>
        <w:t>18, Jan. 4, 2001.</w:t>
      </w:r>
    </w:p>
    <w:p>
      <w:pPr>
        <w:pStyle w:val="BodyText"/>
        <w:numPr>
          <w:ilvl w:val="0"/>
          <w:numId w:val="2"/>
        </w:numPr>
        <w:ind w:hanging="720" w:start="1440" w:end="720"/>
        <w:rPr/>
      </w:pPr>
      <w:r>
        <w:rPr/>
        <w:t>Correspondence from California Power Exchange, Corp. to Federal Energy Regulatory Commission providing notice that it will suspend trading effective January 31, 2001; press release issued by CalPX to same effect.</w:t>
      </w:r>
    </w:p>
    <w:p>
      <w:pPr>
        <w:pStyle w:val="BodyText"/>
        <w:numPr>
          <w:ilvl w:val="0"/>
          <w:numId w:val="2"/>
        </w:numPr>
        <w:ind w:hanging="720" w:start="1440" w:end="720"/>
        <w:rPr/>
      </w:pPr>
      <w:r>
        <w:rPr/>
        <w:t>Los Angeles Times Newspaper Article regarding Power Exchange, reporting imminent shutdown, and substantial employee layoffs.  February 1, 2001, p. A-19.</w:t>
      </w:r>
    </w:p>
    <w:p>
      <w:pPr>
        <w:pStyle w:val="BodyText"/>
        <w:numPr>
          <w:ilvl w:val="0"/>
          <w:numId w:val="2"/>
        </w:numPr>
        <w:ind w:hanging="720" w:start="1440" w:end="720"/>
        <w:rPr/>
      </w:pPr>
      <w:r>
        <w:rPr/>
        <w:t>San Francisco Chronicle Newspaper Article regarding SCE’s block forward market contracts seized by California’s Governor.  February 6, 2001, p. A-4.</w:t>
      </w:r>
    </w:p>
    <w:p>
      <w:pPr>
        <w:pStyle w:val="BodyText"/>
        <w:numPr>
          <w:ilvl w:val="0"/>
          <w:numId w:val="2"/>
        </w:numPr>
        <w:ind w:hanging="720" w:start="1440" w:end="720"/>
        <w:rPr/>
      </w:pPr>
      <w:r>
        <w:rPr/>
        <w:t>California Power Exchange Corp.’s Answer to the Comments of Southern California Edison Company, Docket No. ER00-2736-000; ER00-2737-000, dated June 7, 2000, at 5</w:t>
      </w:r>
    </w:p>
    <w:p>
      <w:pPr>
        <w:pStyle w:val="Date"/>
        <w:rPr/>
      </w:pPr>
      <w:r>
        <w:rPr/>
        <w:t>Dated: February __, 2001</w:t>
      </w:r>
    </w:p>
    <w:p>
      <w:pPr>
        <w:pStyle w:val="SignatureBlock"/>
        <w:rPr>
          <w:caps/>
        </w:rPr>
      </w:pPr>
      <w:r>
        <w:rPr>
          <w:caps/>
        </w:rPr>
        <w:t>Diane E. Pritchard</w:t>
      </w:r>
    </w:p>
    <w:p>
      <w:pPr>
        <w:pStyle w:val="SignatureBlock"/>
        <w:rPr>
          <w:caps/>
        </w:rPr>
      </w:pPr>
      <w:r>
        <w:rPr>
          <w:caps/>
        </w:rPr>
        <w:t>Gordon P. Erspamer</w:t>
      </w:r>
    </w:p>
    <w:p>
      <w:pPr>
        <w:pStyle w:val="SignatureBlock"/>
        <w:rPr>
          <w:caps/>
        </w:rPr>
      </w:pPr>
      <w:r>
        <w:rPr>
          <w:caps/>
        </w:rPr>
        <w:t>Andrew B. Sabey</w:t>
      </w:r>
    </w:p>
    <w:p>
      <w:pPr>
        <w:pStyle w:val="SignatureBlock"/>
        <w:spacing w:before="0" w:after="720"/>
        <w:rPr/>
      </w:pPr>
      <w:r>
        <w:rPr>
          <w:caps/>
        </w:rPr>
        <w:t>Morrison &amp; Foerster</w:t>
      </w:r>
      <w:r>
        <w:rPr>
          <w:smallCaps/>
          <w:sz w:val="18"/>
        </w:rPr>
        <w:t xml:space="preserve"> llp</w:t>
      </w:r>
    </w:p>
    <w:p>
      <w:pPr>
        <w:pStyle w:val="SignatureBlock"/>
        <w:rPr/>
      </w:pPr>
      <w:r>
        <w:rPr/>
        <w:t>By:</w:t>
      </w:r>
      <w:r>
        <w:rPr>
          <w:u w:val="single"/>
        </w:rPr>
        <w:tab/>
      </w:r>
    </w:p>
    <w:p>
      <w:pPr>
        <w:pStyle w:val="ClientIndented"/>
        <w:rPr/>
      </w:pPr>
      <w:r>
        <w:rPr/>
        <w:t>Gordon P. Erspamer</w:t>
      </w:r>
    </w:p>
    <w:p>
      <w:pPr>
        <w:pStyle w:val="ClientIndented"/>
        <w:rPr/>
      </w:pPr>
      <w:r>
        <w:rPr/>
      </w:r>
    </w:p>
    <w:p>
      <w:pPr>
        <w:pStyle w:val="ClientIndented"/>
        <w:rPr/>
      </w:pPr>
      <w:r>
        <w:rPr/>
        <w:t>Attorneys for Plaintiff</w:t>
      </w:r>
    </w:p>
    <w:p>
      <w:pPr>
        <w:pStyle w:val="ClientIndented"/>
        <w:rPr/>
      </w:pPr>
      <w:r>
        <w:rPr/>
        <w:t>AVISTA ENERGY, INC.</w:t>
      </w:r>
    </w:p>
    <w:sectPr>
      <w:headerReference w:type="default" r:id="rId2"/>
      <w:footerReference w:type="default" r:id="rId3"/>
      <w:type w:val="nextPage"/>
      <w:pgSz w:w="12240" w:h="15840"/>
      <w:pgMar w:left="2088" w:right="720" w:gutter="0" w:header="475" w:top="1267" w:footer="504" w:bottom="1325"/>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Black">
    <w:charset w:val="00" w:characterSet="windows-1252"/>
    <w:family w:val="swiss"/>
    <w:pitch w:val="variable"/>
  </w:font>
  <w:font w:name="Garamond">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rStyle w:val="PageNumber"/>
      </w:rPr>
    </w:pPr>
    <w:r>
      <w:rPr>
        <w:rStyle w:val="PageNumber"/>
        <w:b/>
        <w:smallCaps/>
        <w:sz w:val="20"/>
      </w:rPr>
      <w:t xml:space="preserve">case no. </w:t>
    </w:r>
    <w:r>
      <w:rPr>
        <w:b/>
        <w:smallCaps/>
        <w:sz w:val="20"/>
      </w:rPr>
      <w:t>01-01244 (mmm)</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Bdr>
        <w:top w:val="single" w:sz="4" w:space="1" w:color="000000"/>
      </w:pBdr>
      <w:tabs>
        <w:tab w:val="clear" w:pos="4320"/>
        <w:tab w:val="center" w:pos="4860" w:leader="none"/>
        <w:tab w:val="center" w:pos="7920" w:leader="none"/>
        <w:tab w:val="right" w:pos="8640" w:leader="none"/>
      </w:tabs>
      <w:rPr/>
    </w:pPr>
    <w:r>
      <w:rPr>
        <w:rStyle w:val="PageNumber"/>
        <w:b/>
        <w:smallCaps/>
        <w:sz w:val="20"/>
      </w:rPr>
      <w:t xml:space="preserve">avista energy’s request for judicial notice in support of </w:t>
    </w:r>
    <w:r>
      <w:rPr>
        <w:rStyle w:val="PageNumber"/>
        <w:b/>
        <w:i/>
        <w:smallCaps/>
        <w:sz w:val="20"/>
      </w:rPr>
      <w:t xml:space="preserve">ex parte </w:t>
    </w:r>
    <w:r>
      <w:rPr>
        <w:rStyle w:val="PageNumber"/>
        <w:b/>
        <w:smallCaps/>
        <w:sz w:val="20"/>
      </w:rPr>
      <w:t>application</w:t>
    </w:r>
  </w:p>
  <w:p>
    <w:pPr>
      <w:pStyle w:val="Footer"/>
      <w:spacing w:lineRule="atLeast" w:line="1"/>
      <w:rPr/>
    </w:pPr>
    <w:r>
      <w:rPr>
        <w:vanish/>
        <w:sz w:val="20"/>
      </w:rPr>
      <w:t>|</w:t>
    </w:r>
    <w:r>
      <w:rPr>
        <w:sz w:val="20"/>
      </w:rPr>
      <w:t>wc-51126</w:t>
    </w:r>
    <w:r>
      <w:rPr>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6560820" cy="9448800"/>
              <wp:effectExtent l="0" t="0" r="0" b="0"/>
              <wp:wrapNone/>
              <wp:docPr id="1" name="Frame1"/>
              <a:graphic xmlns:a="http://schemas.openxmlformats.org/drawingml/2006/main">
                <a:graphicData uri="http://schemas.microsoft.com/office/word/2010/wordprocessingShape">
                  <wps:wsp>
                    <wps:cNvSpPr txBox="1"/>
                    <wps:spPr>
                      <a:xfrm>
                        <a:off x="0" y="0"/>
                        <a:ext cx="6560820" cy="94488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bookmarkStart w:id="4" w:name="LineNo"/>
                                <w:bookmarkEnd w:id="4"/>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16.6pt;height:744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bookmarkStart w:id="5" w:name="LineNo"/>
                          <w:bookmarkEnd w:id="5"/>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1440" w:hanging="360"/>
      </w:pPr>
    </w:lvl>
    <w:lvl w:ilvl="1">
      <w:start w:val="1"/>
      <w:pStyle w:val="Heading2"/>
      <w:numFmt w:val="upperLetter"/>
      <w:lvlText w:val="%2."/>
      <w:lvlJc w:val="start"/>
      <w:pPr>
        <w:tabs>
          <w:tab w:val="num" w:pos="360"/>
        </w:tabs>
        <w:ind w:start="2160" w:hanging="360"/>
      </w:pPr>
    </w:lvl>
    <w:lvl w:ilvl="2">
      <w:start w:val="1"/>
      <w:pStyle w:val="Heading3"/>
      <w:numFmt w:val="decimal"/>
      <w:lvlText w:val="%3."/>
      <w:lvlJc w:val="start"/>
      <w:pPr>
        <w:tabs>
          <w:tab w:val="num" w:pos="360"/>
        </w:tabs>
        <w:ind w:start="2880" w:hanging="360"/>
      </w:pPr>
    </w:lvl>
    <w:lvl w:ilvl="3">
      <w:start w:val="1"/>
      <w:pStyle w:val="Heading4"/>
      <w:numFmt w:val="lowerLetter"/>
      <w:lvlText w:val="%4."/>
      <w:lvlJc w:val="start"/>
      <w:pPr>
        <w:tabs>
          <w:tab w:val="num" w:pos="360"/>
        </w:tabs>
        <w:ind w:start="3600" w:hanging="360"/>
      </w:pPr>
    </w:lvl>
    <w:lvl w:ilvl="4">
      <w:start w:val="1"/>
      <w:pStyle w:val="Heading5"/>
      <w:numFmt w:val="lowerRoman"/>
      <w:lvlText w:val="%5."/>
      <w:lvlJc w:val="start"/>
      <w:pPr>
        <w:tabs>
          <w:tab w:val="num" w:pos="360"/>
        </w:tabs>
        <w:ind w:start="4320" w:hanging="360"/>
      </w:pPr>
    </w:lvl>
    <w:lvl w:ilvl="5">
      <w:start w:val="1"/>
      <w:pStyle w:val="Heading6"/>
      <w:numFmt w:val="lowerLetter"/>
      <w:lvlText w:val="(%6)"/>
      <w:lvlJc w:val="start"/>
      <w:pPr>
        <w:tabs>
          <w:tab w:val="num" w:pos="360"/>
        </w:tabs>
        <w:ind w:start="3240" w:hanging="360"/>
      </w:pPr>
    </w:lvl>
    <w:lvl w:ilvl="6">
      <w:start w:val="1"/>
      <w:pStyle w:val="Heading7"/>
      <w:numFmt w:val="lowerRoman"/>
      <w:lvlText w:val="(%7)"/>
      <w:lvlJc w:val="start"/>
      <w:pPr>
        <w:tabs>
          <w:tab w:val="num" w:pos="360"/>
        </w:tabs>
        <w:ind w:start="3600" w:hanging="360"/>
      </w:pPr>
    </w:lvl>
    <w:lvl w:ilvl="7">
      <w:start w:val="1"/>
      <w:pStyle w:val="Heading8"/>
      <w:numFmt w:val="lowerLetter"/>
      <w:lvlText w:val="(%8)"/>
      <w:lvlJc w:val="start"/>
      <w:pPr>
        <w:tabs>
          <w:tab w:val="num" w:pos="360"/>
        </w:tabs>
        <w:ind w:start="3960" w:hanging="360"/>
      </w:pPr>
    </w:lvl>
    <w:lvl w:ilvl="8">
      <w:start w:val="1"/>
      <w:pStyle w:val="Heading9"/>
      <w:numFmt w:val="lowerRoman"/>
      <w:lvlText w:val="(%9)"/>
      <w:lvlJc w:val="start"/>
      <w:pPr>
        <w:tabs>
          <w:tab w:val="num" w:pos="360"/>
        </w:tabs>
        <w:ind w:start="4320" w:hanging="360"/>
      </w:pPr>
    </w:lvl>
  </w:abstractNum>
  <w:abstractNum w:abstractNumId="2">
    <w:lvl w:ilvl="0">
      <w:start w:val="1"/>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nish w:val="false"/>
        <w:rFonts w:ascii="Courier New" w:hAnsi="Courier New" w:cs="Courier New"/>
        <w:color w:val="auto"/>
      </w:rPr>
    </w:lvl>
    <w:lvl w:ilvl="1">
      <w:start w:val="1"/>
      <w:numFmt w:val="decimal"/>
      <w:lvlText w:val="%2)"/>
      <w:lvlJc w:val="start"/>
      <w:pPr>
        <w:tabs>
          <w:tab w:val="num" w:pos="2520"/>
        </w:tabs>
        <w:ind w:start="2520" w:hanging="720"/>
      </w:pPr>
      <w:rPr>
        <w:rFonts w:ascii="Courier New" w:hAnsi="Courier New" w:cs="Courier New"/>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Courier New" w:hAnsi="Courier New" w:eastAsia="Times New Roman" w:cs="Courier New"/>
      <w:color w:val="auto"/>
      <w:sz w:val="24"/>
      <w:szCs w:val="20"/>
      <w:lang w:val="en-US" w:eastAsia="zh-CN" w:bidi="hi-IN"/>
    </w:rPr>
  </w:style>
  <w:style w:type="paragraph" w:styleId="Heading1">
    <w:name w:val="heading 1"/>
    <w:basedOn w:val="Normal"/>
    <w:next w:val="BodyText"/>
    <w:qFormat/>
    <w:pPr>
      <w:keepNext w:val="true"/>
      <w:keepLines/>
      <w:numPr>
        <w:ilvl w:val="0"/>
        <w:numId w:val="1"/>
      </w:numPr>
      <w:tabs>
        <w:tab w:val="left" w:pos="720" w:leader="none"/>
      </w:tabs>
      <w:spacing w:before="240" w:after="0"/>
      <w:ind w:hanging="720" w:start="720" w:end="720"/>
      <w:outlineLvl w:val="0"/>
    </w:pPr>
    <w:rPr>
      <w:b/>
      <w:caps/>
      <w:spacing w:val="0"/>
    </w:rPr>
  </w:style>
  <w:style w:type="paragraph" w:styleId="Heading2">
    <w:name w:val="heading 2"/>
    <w:basedOn w:val="Heading1"/>
    <w:next w:val="BodyText"/>
    <w:qFormat/>
    <w:pPr>
      <w:numPr>
        <w:ilvl w:val="1"/>
        <w:numId w:val="1"/>
      </w:numPr>
      <w:tabs>
        <w:tab w:val="left" w:pos="720" w:leader="none"/>
        <w:tab w:val="left" w:pos="1440" w:leader="none"/>
      </w:tabs>
      <w:ind w:hanging="720" w:start="1440" w:end="720"/>
      <w:outlineLvl w:val="1"/>
    </w:pPr>
    <w:rPr>
      <w:caps w:val="false"/>
      <w:smallCaps w:val="false"/>
    </w:rPr>
  </w:style>
  <w:style w:type="paragraph" w:styleId="Heading3">
    <w:name w:val="heading 3"/>
    <w:basedOn w:val="Heading2"/>
    <w:next w:val="BodyText"/>
    <w:qFormat/>
    <w:pPr>
      <w:numPr>
        <w:ilvl w:val="2"/>
        <w:numId w:val="1"/>
      </w:numPr>
      <w:tabs>
        <w:tab w:val="left" w:pos="720" w:leader="none"/>
        <w:tab w:val="left" w:pos="1440" w:leader="none"/>
        <w:tab w:val="left" w:pos="2160" w:leader="none"/>
      </w:tabs>
      <w:ind w:hanging="720" w:start="2160" w:end="720"/>
      <w:outlineLvl w:val="2"/>
    </w:pPr>
    <w:rPr/>
  </w:style>
  <w:style w:type="paragraph" w:styleId="Heading4">
    <w:name w:val="heading 4"/>
    <w:basedOn w:val="Heading3"/>
    <w:next w:val="BodyText"/>
    <w:qFormat/>
    <w:pPr>
      <w:numPr>
        <w:ilvl w:val="3"/>
        <w:numId w:val="1"/>
      </w:numPr>
      <w:tabs>
        <w:tab w:val="left" w:pos="0" w:leader="none"/>
        <w:tab w:val="left" w:pos="720" w:leader="none"/>
        <w:tab w:val="left" w:pos="1440" w:leader="none"/>
        <w:tab w:val="left" w:pos="2160" w:leader="none"/>
      </w:tabs>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28z0">
    <w:name w:val="WW8Num28z0"/>
    <w:qFormat/>
    <w:rPr>
      <w:rFonts w:ascii="Courier New" w:hAnsi="Courier New" w:cs="Courier New"/>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8z1">
    <w:name w:val="WW8Num28z1"/>
    <w:qFormat/>
    <w:rPr>
      <w:rFonts w:ascii="Courier New" w:hAnsi="Courier New" w:cs="Courier New"/>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mphasis">
    <w:name w:val="Emphasis"/>
    <w:qFormat/>
    <w:rPr>
      <w:rFonts w:ascii="Arial Black" w:hAnsi="Arial Black" w:cs="Arial Black"/>
      <w:sz w:val="18"/>
    </w:rPr>
  </w:style>
  <w:style w:type="paragraph" w:styleId="Heading">
    <w:name w:val="Heading"/>
    <w:basedOn w:val="Normal"/>
    <w:next w:val="BodyText"/>
    <w:qFormat/>
    <w:pPr>
      <w:spacing w:before="480" w:after="0"/>
      <w:jc w:val="center"/>
    </w:pPr>
    <w:rPr>
      <w:b/>
      <w:caps/>
      <w:kern w:val="2"/>
    </w:rPr>
  </w:style>
  <w:style w:type="paragraph" w:styleId="BodyText">
    <w:name w:val="Body Text"/>
    <w:basedOn w:val="Normal"/>
    <w:pPr>
      <w:spacing w:lineRule="exact" w:line="480"/>
      <w:ind w:firstLine="720" w:start="0" w:end="0"/>
    </w:pPr>
    <w:rPr>
      <w:spacing w:val="0"/>
      <w:kern w:val="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pacing w:val="0"/>
    </w:rPr>
  </w:style>
  <w:style w:type="paragraph" w:styleId="Index">
    <w:name w:val="Index"/>
    <w:basedOn w:val="Normal"/>
    <w:qFormat/>
    <w:pPr>
      <w:suppressLineNumbers/>
    </w:pPr>
    <w:rPr>
      <w:rFonts w:cs="NotoSans NF"/>
    </w:rPr>
  </w:style>
  <w:style w:type="paragraph" w:styleId="PleadingCaption">
    <w:name w:val="Pleading Caption"/>
    <w:basedOn w:val="Normal"/>
    <w:qFormat/>
    <w:pPr>
      <w:tabs>
        <w:tab w:val="clear" w:pos="720"/>
        <w:tab w:val="left" w:pos="1066" w:leader="none"/>
        <w:tab w:val="left" w:pos="2707" w:leader="none"/>
        <w:tab w:val="right" w:pos="9360" w:leader="none"/>
      </w:tabs>
    </w:pPr>
    <w:rPr>
      <w:kern w:val="2"/>
    </w:rPr>
  </w:style>
  <w:style w:type="paragraph" w:styleId="Quote">
    <w:name w:val="Quote"/>
    <w:basedOn w:val="Normal"/>
    <w:next w:val="AfterQuote"/>
    <w:qFormat/>
    <w:pPr>
      <w:spacing w:before="240" w:after="0"/>
      <w:ind w:hanging="0" w:start="1440" w:end="1440"/>
    </w:pPr>
    <w:rPr>
      <w:kern w:val="2"/>
    </w:rPr>
  </w:style>
  <w:style w:type="paragraph" w:styleId="TOAHeading">
    <w:name w:val="TOA Heading"/>
    <w:basedOn w:val="Normal"/>
    <w:next w:val="Normal"/>
    <w:qFormat/>
    <w:pPr>
      <w:spacing w:before="120" w:after="0"/>
    </w:pPr>
    <w:rPr>
      <w:b/>
    </w:rPr>
  </w:style>
  <w:style w:type="paragraph" w:styleId="FootnoteText">
    <w:name w:val="footnote text"/>
    <w:basedOn w:val="Normal"/>
    <w:pPr>
      <w:spacing w:before="240" w:after="0"/>
      <w:ind w:firstLine="720" w:start="0" w:end="0"/>
    </w:pPr>
    <w:rPr>
      <w:spacing w:val="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pacing w:val="0"/>
    </w:rPr>
  </w:style>
  <w:style w:type="paragraph" w:styleId="Footer">
    <w:name w:val="footer"/>
    <w:basedOn w:val="Normal"/>
    <w:pPr>
      <w:tabs>
        <w:tab w:val="clear" w:pos="720"/>
        <w:tab w:val="center" w:pos="4320" w:leader="none"/>
        <w:tab w:val="center" w:pos="7920" w:leader="none"/>
        <w:tab w:val="right" w:pos="8640" w:leader="none"/>
      </w:tabs>
    </w:pPr>
    <w:rPr>
      <w:spacing w:val="0"/>
    </w:rPr>
  </w:style>
  <w:style w:type="paragraph" w:styleId="SignatureBlock">
    <w:name w:val="Signature Block"/>
    <w:basedOn w:val="Normal"/>
    <w:qFormat/>
    <w:pPr>
      <w:keepNext w:val="true"/>
      <w:tabs>
        <w:tab w:val="clear" w:pos="720"/>
        <w:tab w:val="right" w:pos="8640" w:leader="none"/>
        <w:tab w:val="right" w:pos="9180" w:leader="none"/>
      </w:tabs>
      <w:ind w:hanging="0" w:start="4320" w:end="0"/>
    </w:pPr>
    <w:rPr/>
  </w:style>
  <w:style w:type="paragraph" w:styleId="HeaderNumbers">
    <w:name w:val="HeaderNumbers"/>
    <w:basedOn w:val="Normal"/>
    <w:qFormat/>
    <w:pPr>
      <w:spacing w:lineRule="exact" w:line="480" w:before="600" w:after="0"/>
      <w:ind w:hanging="0" w:start="0" w:end="144"/>
      <w:jc w:val="end"/>
    </w:pPr>
    <w:rPr>
      <w:spacing w:val="0"/>
    </w:rPr>
  </w:style>
  <w:style w:type="paragraph" w:styleId="TOC1">
    <w:name w:val="toc 1"/>
    <w:basedOn w:val="Normal"/>
    <w:next w:val="Normal"/>
    <w:pPr>
      <w:tabs>
        <w:tab w:val="clear" w:pos="720"/>
        <w:tab w:val="right" w:pos="9360" w:leader="dot"/>
      </w:tabs>
      <w:spacing w:before="240" w:after="0"/>
      <w:ind w:hanging="288" w:start="288" w:end="2520"/>
    </w:pPr>
    <w:rPr/>
  </w:style>
  <w:style w:type="paragraph" w:styleId="TOC2">
    <w:name w:val="toc 2"/>
    <w:basedOn w:val="TOC1"/>
    <w:next w:val="Normal"/>
    <w:pPr>
      <w:ind w:hanging="288" w:start="648" w:end="2520"/>
    </w:pPr>
    <w:rPr/>
  </w:style>
  <w:style w:type="paragraph" w:styleId="Court">
    <w:name w:val="Court"/>
    <w:basedOn w:val="Normal"/>
    <w:qFormat/>
    <w:pPr>
      <w:spacing w:before="240" w:after="0"/>
      <w:jc w:val="center"/>
    </w:pPr>
    <w:rPr>
      <w:spacing w:val="0"/>
    </w:rPr>
  </w:style>
  <w:style w:type="paragraph" w:styleId="Client">
    <w:name w:val="Client"/>
    <w:basedOn w:val="Normal"/>
    <w:qFormat/>
    <w:pPr>
      <w:ind w:hanging="0" w:start="0" w:end="4406"/>
    </w:pPr>
    <w:rPr>
      <w:spacing w:val="0"/>
    </w:rPr>
  </w:style>
  <w:style w:type="paragraph" w:styleId="Date">
    <w:name w:val="Date"/>
    <w:basedOn w:val="Normal"/>
    <w:qFormat/>
    <w:pPr>
      <w:keepNext w:val="true"/>
      <w:tabs>
        <w:tab w:val="clear" w:pos="720"/>
        <w:tab w:val="left" w:pos="1627" w:leader="none"/>
      </w:tabs>
      <w:spacing w:before="240" w:after="240"/>
      <w:ind w:hanging="0" w:start="720" w:end="0"/>
    </w:pPr>
    <w:rPr/>
  </w:style>
  <w:style w:type="paragraph" w:styleId="ClientIndented">
    <w:name w:val="Client Indented"/>
    <w:basedOn w:val="Normal"/>
    <w:qFormat/>
    <w:pPr>
      <w:keepNext w:val="true"/>
      <w:ind w:hanging="0" w:start="5040" w:end="0"/>
    </w:pPr>
    <w:rPr/>
  </w:style>
  <w:style w:type="paragraph" w:styleId="TOC3">
    <w:name w:val="toc 3"/>
    <w:basedOn w:val="TOC2"/>
    <w:next w:val="Normal"/>
    <w:pPr>
      <w:ind w:hanging="288" w:start="1008" w:end="2520"/>
    </w:pPr>
    <w:rPr/>
  </w:style>
  <w:style w:type="paragraph" w:styleId="TOC4">
    <w:name w:val="toc 4"/>
    <w:basedOn w:val="TOC3"/>
    <w:next w:val="Normal"/>
    <w:pPr>
      <w:ind w:hanging="288" w:start="1368" w:end="2520"/>
    </w:pPr>
    <w:rPr/>
  </w:style>
  <w:style w:type="paragraph" w:styleId="TOC5">
    <w:name w:val="toc 5"/>
    <w:basedOn w:val="TOC4"/>
    <w:next w:val="Normal"/>
    <w:pPr>
      <w:ind w:hanging="288" w:start="1728" w:end="2520"/>
    </w:pPr>
    <w:rPr/>
  </w:style>
  <w:style w:type="paragraph" w:styleId="TOC6">
    <w:name w:val="toc 6"/>
    <w:basedOn w:val="TOC5"/>
    <w:next w:val="Normal"/>
    <w:pPr>
      <w:ind w:hanging="288" w:start="2088" w:end="2520"/>
    </w:pPr>
    <w:rPr/>
  </w:style>
  <w:style w:type="paragraph" w:styleId="TOC7">
    <w:name w:val="toc 7"/>
    <w:basedOn w:val="TOC6"/>
    <w:next w:val="Normal"/>
    <w:pPr>
      <w:ind w:hanging="288" w:start="2448" w:end="2520"/>
    </w:pPr>
    <w:rPr/>
  </w:style>
  <w:style w:type="paragraph" w:styleId="TOC8">
    <w:name w:val="toc 8"/>
    <w:basedOn w:val="TOC7"/>
    <w:next w:val="Normal"/>
    <w:pPr>
      <w:ind w:hanging="288" w:start="2808" w:end="2520"/>
    </w:pPr>
    <w:rPr/>
  </w:style>
  <w:style w:type="paragraph" w:styleId="TOC9">
    <w:name w:val="toc 9"/>
    <w:basedOn w:val="TOC8"/>
    <w:next w:val="Normal"/>
    <w:pPr>
      <w:ind w:hanging="288" w:start="3168" w:end="252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Arial" w:hAnsi="Arial" w:eastAsia="Times New Roman" w:cs="Arial"/>
      <w:color w:val="auto"/>
      <w:sz w:val="20"/>
      <w:szCs w:val="20"/>
      <w:lang w:val="en-US" w:eastAsia="zh-CN" w:bidi="hi-IN"/>
    </w:rPr>
  </w:style>
  <w:style w:type="paragraph" w:styleId="TableofAuthorities">
    <w:name w:val="Table of Authorities"/>
    <w:basedOn w:val="Normal"/>
    <w:next w:val="Normal"/>
    <w:qFormat/>
    <w:pPr>
      <w:tabs>
        <w:tab w:val="clear" w:pos="720"/>
        <w:tab w:val="right" w:pos="9360" w:leader="dot"/>
      </w:tabs>
      <w:ind w:hanging="240" w:start="240" w:end="0"/>
    </w:pPr>
    <w:rPr/>
  </w:style>
  <w:style w:type="paragraph" w:styleId="BodyText1">
    <w:name w:val="Body Text #"/>
    <w:basedOn w:val="BodyText"/>
    <w:qFormat/>
    <w:pPr>
      <w:numPr>
        <w:ilvl w:val="0"/>
        <w:numId w:val="3"/>
      </w:numPr>
    </w:pPr>
    <w:rPr/>
  </w:style>
  <w:style w:type="paragraph" w:styleId="Index1">
    <w:name w:val="index 1"/>
    <w:basedOn w:val="Normal"/>
    <w:next w:val="Normal"/>
    <w:pPr>
      <w:tabs>
        <w:tab w:val="clear" w:pos="720"/>
        <w:tab w:val="right" w:pos="9792" w:leader="dot"/>
      </w:tabs>
      <w:ind w:hanging="240" w:start="240" w:end="0"/>
    </w:pPr>
    <w:rPr>
      <w:spacing w:val="0"/>
    </w:rPr>
  </w:style>
  <w:style w:type="paragraph" w:styleId="Closing">
    <w:name w:val="Closing"/>
    <w:basedOn w:val="Normal"/>
    <w:qFormat/>
    <w:pPr>
      <w:ind w:hanging="0" w:start="4320" w:end="0"/>
    </w:pPr>
    <w:rPr>
      <w:spacing w:val="0"/>
    </w:rPr>
  </w:style>
  <w:style w:type="paragraph" w:styleId="BodyTexta">
    <w:name w:val="Body Text (a)"/>
    <w:basedOn w:val="BodyText"/>
    <w:qFormat/>
    <w:pPr>
      <w:numPr>
        <w:ilvl w:val="0"/>
        <w:numId w:val="4"/>
      </w:numPr>
      <w:tabs>
        <w:tab w:val="clear" w:pos="720"/>
        <w:tab w:val="left" w:pos="1800" w:leader="none"/>
      </w:tabs>
      <w:ind w:firstLine="1170" w:start="0" w:end="0"/>
    </w:pPr>
    <w:rPr/>
  </w:style>
  <w:style w:type="paragraph" w:styleId="BodyTextNo">
    <w:name w:val="Body Text No#"/>
    <w:basedOn w:val="BodyText1"/>
    <w:next w:val="BodyText1"/>
    <w:qFormat/>
    <w:pPr/>
    <w:rPr/>
  </w:style>
  <w:style w:type="paragraph" w:styleId="CenterTitle">
    <w:name w:val="CenterTitle"/>
    <w:basedOn w:val="BodyText"/>
    <w:next w:val="BodyText"/>
    <w:qFormat/>
    <w:pPr>
      <w:keepNext w:val="true"/>
      <w:ind w:hanging="0" w:start="0" w:end="0"/>
      <w:jc w:val="center"/>
    </w:pPr>
    <w:rPr>
      <w:b/>
    </w:rPr>
  </w:style>
  <w:style w:type="paragraph" w:styleId="AfterQuote">
    <w:name w:val="After Quote"/>
    <w:basedOn w:val="BodyText"/>
    <w:next w:val="BodyText"/>
    <w:qFormat/>
    <w:pPr>
      <w:ind w:hanging="0" w:start="0" w:end="0"/>
      <w:jc w:val="start"/>
    </w:pPr>
    <w:rPr/>
  </w:style>
  <w:style w:type="paragraph" w:styleId="ClientIndentedNoBy">
    <w:name w:val="Client Indented NoBy"/>
    <w:basedOn w:val="ClientIndented"/>
    <w:qFormat/>
    <w:pPr>
      <w:ind w:hanging="0" w:start="4680" w:end="0"/>
    </w:pPr>
    <w:rPr/>
  </w:style>
  <w:style w:type="paragraph" w:styleId="BlockQuotation">
    <w:name w:val="Block Quotation"/>
    <w:basedOn w:val="Normal"/>
    <w:next w:val="BodyText"/>
    <w:qFormat/>
    <w:pPr>
      <w:shd w:fill="auto" w:val="clear"/>
      <w:spacing w:lineRule="auto" w:line="240" w:before="0" w:after="240"/>
      <w:ind w:hanging="0" w:start="600" w:end="600"/>
      <w:jc w:val="both"/>
    </w:pPr>
    <w:rPr>
      <w:rFonts w:ascii="Garamond" w:hAnsi="Garamond" w:cs="Garamond"/>
      <w:spacing w:val="-5"/>
    </w:rPr>
  </w:style>
  <w:style w:type="paragraph" w:styleId="Icon1">
    <w:name w:val="Icon 1"/>
    <w:basedOn w:val="Normal"/>
    <w:qFormat/>
    <w:pPr>
      <w:shd w:fill="000000" w:val="clear"/>
      <w:spacing w:lineRule="auto" w:line="240"/>
      <w:jc w:val="center"/>
    </w:pPr>
    <w:rPr>
      <w:rFonts w:ascii="Wingdings" w:hAnsi="Wingdings" w:cs="Wingdings"/>
      <w:b/>
      <w:color w:val="FFFFFF"/>
      <w:sz w:val="9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2001-02-04T19:23:00Z</dcterms:created>
  <dc:creator>JHE1</dc:creator>
  <dc:description/>
  <dc:language>en-CA</dc:language>
  <cp:lastModifiedBy>Janis E. Price</cp:lastModifiedBy>
  <cp:lastPrinted>2001-02-08T14:48:00Z</cp:lastPrinted>
  <dcterms:modified xsi:type="dcterms:W3CDTF">2001-02-08T20:19:00Z</dcterms:modified>
  <cp:revision>42</cp:revision>
  <dc:subject/>
  <dc:title>Morrison &amp; Foerster Pleading Template version 3.0</dc:title>
</cp:coreProperties>
</file>