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both"/>
        <w:rPr>
          <w:rFonts w:ascii="Arial" w:hAnsi="Arial" w:cs="Arial"/>
          <w:sz w:val="19"/>
        </w:rPr>
      </w:pPr>
      <w:r>
        <w:rPr>
          <w:rFonts w:cs="Arial" w:ascii="Arial" w:hAnsi="Arial"/>
          <w:sz w:val="17"/>
        </w:rPr>
        <w:drawing>
          <wp:inline distT="0" distB="0" distL="0" distR="0">
            <wp:extent cx="669925" cy="663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9925" cy="663575"/>
                    </a:xfrm>
                    <a:prstGeom prst="rect">
                      <a:avLst/>
                    </a:prstGeom>
                    <a:noFill/>
                  </pic:spPr>
                </pic:pic>
              </a:graphicData>
            </a:graphic>
          </wp:inline>
        </w:drawing>
      </w:r>
    </w:p>
    <w:p>
      <w:pPr>
        <w:pStyle w:val="Normal"/>
        <w:jc w:val="both"/>
        <w:rPr>
          <w:rFonts w:ascii="Arial" w:hAnsi="Arial" w:cs="Arial"/>
          <w:sz w:val="19"/>
        </w:rPr>
      </w:pPr>
      <w:r>
        <w:rPr>
          <w:rFonts w:cs="Arial" w:ascii="Arial" w:hAnsi="Arial"/>
          <w:sz w:val="19"/>
        </w:rPr>
      </w:r>
    </w:p>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To:</w:t>
        <w:tab/>
        <w:t xml:space="preserve"> </w:t>
      </w:r>
      <w:r>
        <w:rPr>
          <w:rFonts w:cs="Arial" w:ascii="Arial" w:hAnsi="Arial"/>
        </w:rPr>
        <w:t>Robert J. Hermann</w:t>
      </w:r>
    </w:p>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r>
    </w:p>
    <w:p>
      <w:pPr>
        <w:pStyle w:val="Normal"/>
        <w:tabs>
          <w:tab w:val="clear" w:pos="720"/>
          <w:tab w:val="left" w:pos="810" w:leader="none"/>
          <w:tab w:val="left" w:pos="5220" w:leader="none"/>
          <w:tab w:val="left" w:pos="6120" w:leader="none"/>
          <w:tab w:val="left" w:pos="6660" w:leader="none"/>
          <w:tab w:val="left" w:pos="6930" w:leader="none"/>
          <w:tab w:val="left" w:pos="7290" w:leader="none"/>
          <w:tab w:val="left" w:pos="738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From:</w:t>
        <w:tab/>
        <w:t xml:space="preserve"> </w:t>
      </w:r>
      <w:r>
        <w:rPr>
          <w:rFonts w:cs="Arial" w:ascii="Arial" w:hAnsi="Arial"/>
        </w:rPr>
        <w:t>Corporate Tax Staff</w:t>
      </w:r>
      <w:r>
        <w:rPr>
          <w:rFonts w:cs="Arial" w:ascii="Arial" w:hAnsi="Arial"/>
          <w:sz w:val="19"/>
        </w:rPr>
        <w:tab/>
        <w:tab/>
        <w:t>Department</w:t>
      </w:r>
      <w:r>
        <w:rPr>
          <w:rFonts w:cs="Arial" w:ascii="Arial" w:hAnsi="Arial"/>
        </w:rPr>
        <w:t>:  Corporate Tax</w:t>
      </w:r>
    </w:p>
    <w:p>
      <w:pPr>
        <w:pStyle w:val="Normal"/>
        <w:tabs>
          <w:tab w:val="clear" w:pos="720"/>
          <w:tab w:val="left" w:pos="810" w:leader="none"/>
          <w:tab w:val="left" w:pos="5220" w:leader="none"/>
          <w:tab w:val="left" w:pos="6120" w:leader="none"/>
          <w:tab w:val="left" w:pos="6660" w:leader="none"/>
          <w:tab w:val="left" w:pos="6930" w:leader="none"/>
          <w:tab w:val="left" w:pos="7290" w:leader="none"/>
          <w:tab w:val="left" w:pos="7380" w:leader="none"/>
        </w:tabs>
        <w:ind w:end="-720"/>
        <w:jc w:val="both"/>
        <w:rPr>
          <w:rFonts w:ascii="Arial" w:hAnsi="Arial" w:cs="Arial"/>
          <w:sz w:val="19"/>
        </w:rPr>
      </w:pPr>
      <w:r>
        <w:rPr>
          <w:rFonts w:cs="Arial" w:ascii="Arial" w:hAnsi="Arial"/>
          <w:sz w:val="19"/>
        </w:rPr>
      </w:r>
    </w:p>
    <w:p>
      <w:pPr>
        <w:pStyle w:val="Normal"/>
        <w:tabs>
          <w:tab w:val="clear" w:pos="720"/>
          <w:tab w:val="left" w:pos="810" w:leader="none"/>
          <w:tab w:val="left" w:pos="5220" w:leader="none"/>
          <w:tab w:val="left" w:pos="6120" w:leader="none"/>
          <w:tab w:val="left" w:pos="6660" w:leader="none"/>
          <w:tab w:val="left" w:pos="6930" w:leader="none"/>
          <w:tab w:val="left" w:pos="7290" w:leader="none"/>
          <w:tab w:val="left" w:pos="7380" w:leader="none"/>
        </w:tabs>
        <w:ind w:end="-720"/>
        <w:jc w:val="both"/>
        <w:rPr>
          <w:rFonts w:ascii="Arial" w:hAnsi="Arial" w:cs="Arial"/>
          <w:sz w:val="19"/>
        </w:rPr>
      </w:pPr>
      <w:r>
        <w:rPr>
          <w:rFonts w:cs="Arial" w:ascii="Arial" w:hAnsi="Arial"/>
          <w:sz w:val="19"/>
        </w:rPr>
        <w:t xml:space="preserve">Subject:  </w:t>
      </w:r>
      <w:r>
        <w:rPr>
          <w:rFonts w:cs="Arial" w:ascii="Arial" w:hAnsi="Arial"/>
          <w:b/>
        </w:rPr>
        <w:t>WEEKLY REPORT – WEEK ENDING 10/19/01</w:t>
      </w:r>
      <w:r>
        <w:rPr>
          <w:rFonts w:cs="Arial" w:ascii="Arial" w:hAnsi="Arial"/>
          <w:b/>
          <w:sz w:val="19"/>
        </w:rPr>
        <w:t xml:space="preserve">    </w:t>
      </w:r>
      <w:r>
        <w:rPr>
          <w:rFonts w:cs="Arial" w:ascii="Arial" w:hAnsi="Arial"/>
          <w:sz w:val="19"/>
        </w:rPr>
        <w:t xml:space="preserve">  </w:t>
        <w:tab/>
        <w:t>Date</w:t>
      </w:r>
      <w:r>
        <w:rPr>
          <w:rFonts w:cs="Arial" w:ascii="Arial" w:hAnsi="Arial"/>
        </w:rPr>
        <w:t>:  October 22, 2001</w:t>
      </w:r>
    </w:p>
    <w:p>
      <w:pPr>
        <w:pStyle w:val="Normal"/>
        <w:pBdr>
          <w:bottom w:val="single" w:sz="4" w:space="1" w:color="000000"/>
        </w:pBdr>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jc w:val="both"/>
        <w:rPr>
          <w:rFonts w:ascii="Arial" w:hAnsi="Arial" w:cs="Arial"/>
          <w:b/>
          <w:sz w:val="22"/>
          <w:u w:val="single"/>
        </w:rPr>
      </w:pPr>
      <w:r>
        <w:rPr>
          <w:rFonts w:cs="Arial" w:ascii="Arial" w:hAnsi="Arial"/>
          <w:b/>
          <w:sz w:val="22"/>
          <w:u w:val="single"/>
        </w:rPr>
        <w:t>AUDITS, AD VALOREM &amp; TRANSACTION TAXES  (ED COATS)</w:t>
      </w:r>
    </w:p>
    <w:p>
      <w:pPr>
        <w:pStyle w:val="Normal"/>
        <w:jc w:val="both"/>
        <w:rPr>
          <w:rFonts w:ascii="Arial" w:hAnsi="Arial" w:cs="Arial"/>
          <w:b/>
          <w:bCs/>
          <w:sz w:val="22"/>
          <w:u w:val="single"/>
        </w:rPr>
      </w:pPr>
      <w:r>
        <w:rPr>
          <w:rFonts w:cs="Arial" w:ascii="Arial" w:hAnsi="Arial"/>
          <w:b/>
          <w:bCs/>
          <w:sz w:val="22"/>
          <w:u w:val="single"/>
        </w:rPr>
      </w:r>
    </w:p>
    <w:p>
      <w:pPr>
        <w:pStyle w:val="Normal"/>
        <w:jc w:val="both"/>
        <w:rPr/>
      </w:pPr>
      <w:r>
        <w:rPr>
          <w:rFonts w:cs="Arial" w:ascii="Arial" w:hAnsi="Arial"/>
          <w:bCs/>
        </w:rPr>
        <w:t>Worked with the House of Representative’s Ways and Means Committee members relating to their passage of an Economic Stimulus bill on October 12</w:t>
      </w:r>
      <w:r>
        <w:rPr>
          <w:rFonts w:cs="Arial" w:ascii="Arial" w:hAnsi="Arial"/>
          <w:bCs/>
          <w:vertAlign w:val="superscript"/>
        </w:rPr>
        <w:t>th</w:t>
      </w:r>
      <w:r>
        <w:rPr>
          <w:rFonts w:cs="Arial" w:ascii="Arial" w:hAnsi="Arial"/>
          <w:bCs/>
        </w:rPr>
        <w:t>.  The bill includes the repeal of Alternative Minimum Taxes (AMT) as well as the refund of prior payments.  A vote in the full House is expected next week.  The Senate will take up the bill within the next two weeks and is unlikely to accept the House bill.  AMT repeal and especially immediate refund ability faces major opposition in the Senate.  The repeal is supported by the Bush Administration.  Enron has approximately $278 million of accumulated credits.</w:t>
      </w:r>
    </w:p>
    <w:p>
      <w:pPr>
        <w:pStyle w:val="Normal"/>
        <w:jc w:val="both"/>
        <w:rPr>
          <w:rFonts w:ascii="Arial" w:hAnsi="Arial" w:cs="Arial"/>
          <w:bCs/>
          <w:u w:val="single"/>
        </w:rPr>
      </w:pPr>
      <w:r>
        <w:rPr>
          <w:rFonts w:cs="Arial" w:ascii="Arial" w:hAnsi="Arial"/>
          <w:bCs/>
          <w:u w:val="single"/>
        </w:rPr>
      </w:r>
    </w:p>
    <w:p>
      <w:pPr>
        <w:pStyle w:val="Normal"/>
        <w:jc w:val="both"/>
        <w:rPr>
          <w:rFonts w:ascii="Arial" w:hAnsi="Arial" w:cs="Arial"/>
          <w:bCs/>
          <w:u w:val="single"/>
        </w:rPr>
      </w:pPr>
      <w:r>
        <w:rPr>
          <w:rFonts w:cs="Arial" w:ascii="Arial" w:hAnsi="Arial"/>
          <w:bCs/>
          <w:u w:val="single"/>
        </w:rPr>
        <w:t>FEDERAL INCOME TAX AND STATE INCOME &amp; FRANCHISE TAX AUDITS (BETH ATKINSON, VICTOR RUNGE)</w:t>
      </w:r>
    </w:p>
    <w:p>
      <w:pPr>
        <w:pStyle w:val="Normal"/>
        <w:jc w:val="both"/>
        <w:rPr>
          <w:rFonts w:ascii="Arial" w:hAnsi="Arial" w:cs="Arial"/>
          <w:bCs/>
          <w:u w:val="single"/>
        </w:rPr>
      </w:pPr>
      <w:r>
        <w:rPr>
          <w:rFonts w:cs="Arial" w:ascii="Arial" w:hAnsi="Arial"/>
          <w:bCs/>
          <w:u w:val="single"/>
        </w:rPr>
      </w:r>
    </w:p>
    <w:p>
      <w:pPr>
        <w:pStyle w:val="Normal"/>
        <w:pBdr>
          <w:top w:val="single" w:sz="4" w:space="1" w:color="000000"/>
          <w:left w:val="single" w:sz="4" w:space="4" w:color="000000"/>
          <w:bottom w:val="single" w:sz="4" w:space="1" w:color="000000"/>
          <w:right w:val="single" w:sz="4" w:space="4" w:color="000000"/>
        </w:pBdr>
        <w:shd w:fill="D9D9D9" w:val="clear"/>
        <w:jc w:val="both"/>
        <w:rPr>
          <w:rFonts w:ascii="Arial" w:hAnsi="Arial" w:cs="Arial"/>
          <w:u w:val="single"/>
        </w:rPr>
      </w:pPr>
      <w:r>
        <w:rPr>
          <w:rFonts w:cs="Arial" w:ascii="Arial" w:hAnsi="Arial"/>
          <w:u w:val="single"/>
        </w:rPr>
        <w:t>IRS Audit of 1998 –2000</w:t>
      </w:r>
    </w:p>
    <w:p>
      <w:pPr>
        <w:pStyle w:val="Normal"/>
        <w:numPr>
          <w:ilvl w:val="0"/>
          <w:numId w:val="5"/>
        </w:numPr>
        <w:pBdr>
          <w:top w:val="single" w:sz="4" w:space="1" w:color="000000"/>
          <w:left w:val="single" w:sz="4" w:space="4" w:color="000000"/>
          <w:bottom w:val="single" w:sz="4" w:space="1" w:color="000000"/>
          <w:right w:val="single" w:sz="4" w:space="4" w:color="000000"/>
        </w:pBdr>
        <w:shd w:fill="D9D9D9" w:val="clear"/>
        <w:jc w:val="both"/>
        <w:rPr>
          <w:rFonts w:ascii="Arial" w:hAnsi="Arial" w:cs="Arial"/>
        </w:rPr>
      </w:pPr>
      <w:r>
        <w:rPr>
          <w:rFonts w:cs="Arial" w:ascii="Arial" w:hAnsi="Arial"/>
        </w:rPr>
        <w:t>Continued responding to IDRs.  Current areas of interest for the IRS are overhead, stock option expense and cost sharing agreements.</w:t>
      </w:r>
    </w:p>
    <w:p>
      <w:pPr>
        <w:pStyle w:val="Normal"/>
        <w:numPr>
          <w:ilvl w:val="0"/>
          <w:numId w:val="5"/>
        </w:numPr>
        <w:pBdr>
          <w:top w:val="single" w:sz="4" w:space="1" w:color="000000"/>
          <w:left w:val="single" w:sz="4" w:space="4" w:color="000000"/>
          <w:bottom w:val="single" w:sz="4" w:space="1" w:color="000000"/>
          <w:right w:val="single" w:sz="4" w:space="4" w:color="000000"/>
        </w:pBdr>
        <w:shd w:fill="D9D9D9" w:val="clear"/>
        <w:jc w:val="both"/>
        <w:rPr>
          <w:rFonts w:ascii="Arial" w:hAnsi="Arial" w:cs="Arial"/>
        </w:rPr>
      </w:pPr>
      <w:r>
        <w:rPr>
          <w:rFonts w:cs="Arial" w:ascii="Arial" w:hAnsi="Arial"/>
        </w:rPr>
        <w:t>Continued preparing taxpayer proposed adjustments for the 1998 through 2000 audit years.</w:t>
      </w:r>
    </w:p>
    <w:p>
      <w:pPr>
        <w:pStyle w:val="Normal"/>
        <w:pBdr>
          <w:top w:val="single" w:sz="4" w:space="1" w:color="000000"/>
          <w:left w:val="single" w:sz="4" w:space="4" w:color="000000"/>
          <w:bottom w:val="single" w:sz="4" w:space="1" w:color="000000"/>
          <w:right w:val="single" w:sz="4" w:space="4" w:color="000000"/>
        </w:pBdr>
        <w:shd w:fill="D9D9D9" w:val="clear"/>
        <w:jc w:val="both"/>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shd w:fill="D9D9D9" w:val="clear"/>
        <w:jc w:val="both"/>
        <w:rPr>
          <w:rFonts w:ascii="Arial" w:hAnsi="Arial" w:cs="Arial"/>
          <w:u w:val="single"/>
        </w:rPr>
      </w:pPr>
      <w:r>
        <w:rPr>
          <w:rFonts w:cs="Arial" w:ascii="Arial" w:hAnsi="Arial"/>
          <w:u w:val="single"/>
        </w:rPr>
        <w:t>Other IRS Audits</w:t>
      </w:r>
    </w:p>
    <w:p>
      <w:pPr>
        <w:pStyle w:val="Normal"/>
        <w:numPr>
          <w:ilvl w:val="0"/>
          <w:numId w:val="2"/>
        </w:numPr>
        <w:pBdr>
          <w:top w:val="single" w:sz="4" w:space="1" w:color="000000"/>
          <w:left w:val="single" w:sz="4" w:space="4" w:color="000000"/>
          <w:bottom w:val="single" w:sz="4" w:space="1" w:color="000000"/>
          <w:right w:val="single" w:sz="4" w:space="4" w:color="000000"/>
        </w:pBdr>
        <w:shd w:fill="D9D9D9" w:val="clear"/>
        <w:jc w:val="both"/>
        <w:rPr>
          <w:rFonts w:ascii="Arial" w:hAnsi="Arial" w:cs="Arial"/>
        </w:rPr>
      </w:pPr>
      <w:r>
        <w:rPr>
          <w:rFonts w:cs="Arial" w:ascii="Arial" w:hAnsi="Arial"/>
        </w:rPr>
        <w:t xml:space="preserve">Continued working on Enron’s response to the revised Field Service Advice (FSA) related to the $235 million contingent liability loss deducted on Enron’s 1996 federal return.  </w:t>
      </w:r>
    </w:p>
    <w:p>
      <w:pPr>
        <w:pStyle w:val="Normal"/>
        <w:numPr>
          <w:ilvl w:val="0"/>
          <w:numId w:val="2"/>
        </w:numPr>
        <w:pBdr>
          <w:top w:val="single" w:sz="4" w:space="1" w:color="000000"/>
          <w:left w:val="single" w:sz="4" w:space="4" w:color="000000"/>
          <w:bottom w:val="single" w:sz="4" w:space="1" w:color="000000"/>
          <w:right w:val="single" w:sz="4" w:space="4" w:color="000000"/>
        </w:pBdr>
        <w:shd w:fill="D9D9D9" w:val="clear"/>
        <w:jc w:val="both"/>
        <w:rPr>
          <w:rFonts w:ascii="Arial" w:hAnsi="Arial" w:cs="Arial"/>
        </w:rPr>
      </w:pPr>
      <w:r>
        <w:rPr>
          <w:rFonts w:cs="Arial" w:ascii="Arial" w:hAnsi="Arial"/>
        </w:rPr>
        <w:t xml:space="preserve">Continued analyzing the IRS’s FSA related to the Puerto Rico $43 million transfer pricing proposed adjustment included in the 1997 Revenue Agent’s Report.  </w:t>
      </w:r>
    </w:p>
    <w:p>
      <w:pPr>
        <w:pStyle w:val="Footer"/>
        <w:tabs>
          <w:tab w:val="clear" w:pos="4320"/>
          <w:tab w:val="clear" w:pos="8640"/>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Interviewed spring and summer intern candidates at University of Texas in Austin.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settlement offer regarding outstanding Louisiana Income and Franchise Tax cases was submitted to opposing counsel October 5, 2001.  We have still not been informed as to whether the offer will be accepted.  We have stipulated that the offer expires at the close of business Friday, October 19, 2001.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Amnesty requests are being submitted to the Louisiana Department of Revenue on behalf of ENAC for penalties assessed with respect to misapplied income/franchise tax payments for the 1998 and 1999 tax years.  In addition, a payment under protest is being prepared for franchise tax assessed for the 1995 – 1997 franchise tax years.</w:t>
      </w:r>
    </w:p>
    <w:p>
      <w:pPr>
        <w:pStyle w:val="Normal"/>
        <w:jc w:val="both"/>
        <w:rPr>
          <w:rFonts w:ascii="Arial" w:hAnsi="Arial" w:cs="Arial"/>
        </w:rPr>
      </w:pPr>
      <w:r>
        <w:rPr>
          <w:rFonts w:cs="Arial" w:ascii="Arial" w:hAnsi="Arial"/>
        </w:rPr>
      </w:r>
    </w:p>
    <w:p>
      <w:pPr>
        <w:pStyle w:val="Normal"/>
        <w:jc w:val="both"/>
        <w:rPr>
          <w:rFonts w:ascii="Arial" w:hAnsi="Arial" w:cs="Arial"/>
          <w:szCs w:val="24"/>
        </w:rPr>
      </w:pPr>
      <w:r>
        <w:rPr>
          <w:rFonts w:cs="Arial" w:ascii="Arial" w:hAnsi="Arial"/>
          <w:szCs w:val="24"/>
        </w:rPr>
        <w:t>The field work phase of the Mississippi audit of FGT’s 1998-2000 tax returns was begun and completed on October 11, 2001.  Supplemental information was provided to the auditor on October 15.  We are awaiting his report.</w:t>
      </w:r>
    </w:p>
    <w:p>
      <w:pPr>
        <w:pStyle w:val="Normal"/>
        <w:jc w:val="both"/>
        <w:rPr>
          <w:rFonts w:ascii="Arial" w:hAnsi="Arial" w:cs="Arial"/>
          <w:szCs w:val="24"/>
        </w:rPr>
      </w:pPr>
      <w:r>
        <w:rPr>
          <w:rFonts w:cs="Arial" w:ascii="Arial" w:hAnsi="Arial"/>
          <w:szCs w:val="24"/>
        </w:rPr>
      </w:r>
    </w:p>
    <w:p>
      <w:pPr>
        <w:pStyle w:val="Normal"/>
        <w:jc w:val="both"/>
        <w:rPr>
          <w:szCs w:val="24"/>
        </w:rPr>
      </w:pPr>
      <w:r>
        <w:rPr>
          <w:rFonts w:cs="Arial" w:ascii="Arial" w:hAnsi="Arial"/>
          <w:szCs w:val="24"/>
        </w:rPr>
        <w:t>Information is being gathered and discussions are underway with the auditor concerning a proposed assessment of additional Virginia income tax for 1998 for Enron Richmond Power Corp.</w:t>
      </w:r>
    </w:p>
    <w:p>
      <w:pPr>
        <w:pStyle w:val="Header"/>
        <w:tabs>
          <w:tab w:val="clear" w:pos="4320"/>
          <w:tab w:val="clear" w:pos="8640"/>
        </w:tabs>
        <w:rPr>
          <w:rFonts w:cs="Arial"/>
          <w:szCs w:val="24"/>
        </w:rPr>
      </w:pPr>
      <w:r>
        <w:rPr>
          <w:rFonts w:cs="Arial"/>
          <w:szCs w:val="24"/>
        </w:rPr>
      </w:r>
    </w:p>
    <w:p>
      <w:pPr>
        <w:pStyle w:val="Normal"/>
        <w:ind w:end="518"/>
        <w:jc w:val="both"/>
        <w:rPr>
          <w:rFonts w:ascii="Arial" w:hAnsi="Arial" w:cs="Arial"/>
          <w:u w:val="single"/>
        </w:rPr>
      </w:pPr>
      <w:r>
        <w:rPr>
          <w:rFonts w:cs="Arial" w:ascii="Arial" w:hAnsi="Arial"/>
          <w:u w:val="single"/>
        </w:rPr>
        <w:t>LEGISLATIVE (GAVIN RUSSO)</w:t>
      </w:r>
    </w:p>
    <w:p>
      <w:pPr>
        <w:pStyle w:val="Normal"/>
        <w:ind w:end="518"/>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Completed analysis of property tax liability by legislative district for the states of Texas and Oklahoma. This data was requested by Government Affairs – North America and is to be used as a tool when interacting with state legislators.  The report identifies operating assets, assessments, taxes and the number of employees in each county.</w:t>
      </w:r>
    </w:p>
    <w:p>
      <w:pPr>
        <w:pStyle w:val="Normal"/>
        <w:jc w:val="both"/>
        <w:rPr>
          <w:rFonts w:ascii="Arial" w:hAnsi="Arial" w:cs="Arial"/>
        </w:rPr>
      </w:pPr>
      <w:r>
        <w:rPr>
          <w:rFonts w:cs="Arial" w:ascii="Arial" w:hAnsi="Arial"/>
        </w:rPr>
      </w:r>
    </w:p>
    <w:p>
      <w:pPr>
        <w:pStyle w:val="Normal"/>
        <w:ind w:end="90"/>
        <w:jc w:val="both"/>
        <w:rPr>
          <w:rFonts w:ascii="Arial" w:hAnsi="Arial" w:cs="Arial"/>
          <w:bCs/>
          <w:u w:val="single"/>
        </w:rPr>
      </w:pPr>
      <w:r>
        <w:rPr>
          <w:rFonts w:cs="Arial" w:ascii="Arial" w:hAnsi="Arial"/>
          <w:bCs/>
          <w:u w:val="single"/>
        </w:rPr>
        <w:t>AD VALOREM TAX  (WARREN SCHICK)</w:t>
      </w:r>
    </w:p>
    <w:p>
      <w:pPr>
        <w:pStyle w:val="Normal"/>
        <w:ind w:end="-720"/>
        <w:jc w:val="both"/>
        <w:rPr>
          <w:rFonts w:ascii="Arial" w:hAnsi="Arial" w:cs="Arial"/>
          <w:bCs/>
          <w:u w:val="single"/>
        </w:rPr>
      </w:pPr>
      <w:r>
        <w:rPr>
          <w:rFonts w:cs="Arial" w:ascii="Arial" w:hAnsi="Arial"/>
          <w:bCs/>
          <w:u w:val="single"/>
        </w:rPr>
      </w:r>
    </w:p>
    <w:p>
      <w:pPr>
        <w:pStyle w:val="Normal"/>
        <w:jc w:val="both"/>
        <w:rPr>
          <w:rFonts w:ascii="Arial" w:hAnsi="Arial" w:cs="Arial"/>
        </w:rPr>
      </w:pPr>
      <w:r>
        <w:rPr>
          <w:rFonts w:cs="Arial" w:ascii="Arial" w:hAnsi="Arial"/>
        </w:rPr>
        <w:t xml:space="preserve">The firm of Muse, Stancil &amp; Company, met with representatives of Pace Engineering to discuss the details of their appraisal on the assets EOTT acquired from Clean Fuels in June.  From all reports the meeting went extremely well and both firms are working together to temper the language in the Pace Report that will not negatively impact the property tax valuation effort for 2000.  As has been reported on several occasions, the valuation for 2000 is in litigation due to an unsuccessful challenge by the City of Morgan’s Point before the Harris County Appraisal Review Board.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Attended an EWS meeting to discuss the possibility of property tax abatement on a proposed generating facility in Glades County, Florida.  In addition, requested of EWS the green light to engage outside counsel to assist in researching various Indian issues regarding the development.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Spoke with the Qwest property tax department related to the recent IRU transaction along the EBS build from Salt Lake to New Orleans and several other Swap segments.  A conference call with them to share route mileage, tax jurisdiction information, and tax payments was completed this week.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Reviewed documents prepared by outside counsel regarding Defendant Answers to the City of Morgan’s Point Original Petition regarding the valuation dispute for assessment years 2000 and 2001.</w:t>
      </w:r>
    </w:p>
    <w:p>
      <w:pPr>
        <w:pStyle w:val="BlockText"/>
        <w:ind w:start="0" w:end="0"/>
        <w:jc w:val="both"/>
        <w:rPr>
          <w:rFonts w:ascii="Arial" w:hAnsi="Arial" w:cs="Arial"/>
        </w:rPr>
      </w:pPr>
      <w:r>
        <w:rPr>
          <w:rFonts w:cs="Arial"/>
        </w:rPr>
      </w:r>
    </w:p>
    <w:p>
      <w:pPr>
        <w:pStyle w:val="Normal"/>
        <w:ind w:end="90"/>
        <w:jc w:val="both"/>
        <w:rPr>
          <w:rFonts w:ascii="Arial" w:hAnsi="Arial" w:cs="Arial"/>
          <w:bCs/>
          <w:u w:val="single"/>
        </w:rPr>
      </w:pPr>
      <w:r>
        <w:rPr>
          <w:rFonts w:cs="Arial" w:ascii="Arial" w:hAnsi="Arial"/>
          <w:bCs/>
          <w:u w:val="single"/>
        </w:rPr>
        <w:t>AUDIT &amp; EXCISE TAX  (SANDRA HRNA)</w:t>
      </w:r>
    </w:p>
    <w:p>
      <w:pPr>
        <w:pStyle w:val="Normal"/>
        <w:autoSpaceDE w:val="false"/>
        <w:ind w:end="518"/>
        <w:rPr>
          <w:rFonts w:ascii="Arial" w:hAnsi="Arial" w:cs="Arial"/>
          <w:bCs/>
          <w:u w:val="single"/>
        </w:rPr>
      </w:pPr>
      <w:r>
        <w:rPr>
          <w:rFonts w:cs="Arial" w:ascii="Arial" w:hAnsi="Arial"/>
          <w:bCs/>
          <w:u w:val="single"/>
        </w:rPr>
      </w:r>
    </w:p>
    <w:p>
      <w:pPr>
        <w:pStyle w:val="Normal"/>
        <w:jc w:val="both"/>
        <w:rPr>
          <w:rFonts w:ascii="Arial" w:hAnsi="Arial" w:cs="Arial"/>
        </w:rPr>
      </w:pPr>
      <w:r>
        <w:rPr>
          <w:rFonts w:cs="Arial" w:ascii="Arial" w:hAnsi="Arial"/>
        </w:rPr>
        <w:t>Applied for the State of Maryland Amnesty Program and saved Enron Energy Services, Inc. over $20,900.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Trained staff on analysis procedure of the Enron Communications Leasing Inc.’s monthly fixed asset schedule used for tax reporting.  Also, provided support to Enron Broadband Services personnel on issues related to the upcoming DPC billing system.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Joe Green has become CMI certified under the Institute of Professionals in Taxation.</w:t>
      </w:r>
    </w:p>
    <w:p>
      <w:pPr>
        <w:pStyle w:val="Normal"/>
        <w:jc w:val="both"/>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SYSTEMS &amp; RESEARCH  (JERRY MOORE)</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Held a conference call with representatives of Meridian VAT Reclaim.  This firm processes Value Added Tax (VAT) refund claims for various Enron entities that conduct business in Europe and Canada.  We discussed expanding their analysis beyond refunds for hotels and meals.  In addition, Meridian will begin identifying the RC number so future refunds can be credited directly to the department that incurred the original expense.  At present, all refunds go into a corporate account and is not re-distributed.</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rPr>
        <w:t>Created the TDM Matrix Table File to capture current effective taxability status by tax code, state and material group.  The matrix will be utilized to validate tax accruals as well as audit the existing exceptions in TDMs.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Participated in conference call with NEPCO staff regarding the transitioning of compliance back to NEPCO.  Agreed our group would continue supporting NEPCO through the end of this year.</w:t>
      </w:r>
    </w:p>
    <w:p>
      <w:pPr>
        <w:pStyle w:val="Normal"/>
        <w:jc w:val="both"/>
        <w:rPr>
          <w:rFonts w:ascii="Arial" w:hAnsi="Arial" w:cs="Arial"/>
          <w:szCs w:val="24"/>
        </w:rPr>
      </w:pPr>
      <w:r>
        <w:rPr>
          <w:rFonts w:cs="Arial" w:ascii="Arial" w:hAnsi="Arial"/>
          <w:szCs w:val="24"/>
        </w:rPr>
      </w:r>
    </w:p>
    <w:p>
      <w:pPr>
        <w:pStyle w:val="Normal"/>
        <w:jc w:val="both"/>
        <w:rPr>
          <w:rFonts w:ascii="Arial" w:hAnsi="Arial" w:cs="Arial"/>
          <w:szCs w:val="24"/>
        </w:rPr>
      </w:pPr>
      <w:r>
        <w:rPr>
          <w:rFonts w:cs="Arial" w:ascii="Arial" w:hAnsi="Arial"/>
          <w:szCs w:val="24"/>
        </w:rPr>
      </w:r>
    </w:p>
    <w:p>
      <w:pPr>
        <w:pStyle w:val="Normal"/>
        <w:jc w:val="both"/>
        <w:rPr>
          <w:rFonts w:ascii="Arial" w:hAnsi="Arial" w:cs="Arial"/>
          <w:b/>
          <w:sz w:val="22"/>
          <w:u w:val="single"/>
        </w:rPr>
      </w:pPr>
      <w:r>
        <w:rPr>
          <w:rFonts w:cs="Arial" w:ascii="Arial" w:hAnsi="Arial"/>
          <w:b/>
          <w:sz w:val="22"/>
          <w:u w:val="single"/>
        </w:rPr>
        <w:t>STRUCTURED TRANSACTIONS  (DAVE MAXEY)</w:t>
      </w:r>
    </w:p>
    <w:p>
      <w:pPr>
        <w:pStyle w:val="Normal"/>
        <w:jc w:val="both"/>
        <w:rPr>
          <w:rFonts w:ascii="Arial" w:hAnsi="Arial" w:cs="Arial"/>
          <w:b/>
          <w:sz w:val="22"/>
          <w:u w:val="single"/>
        </w:rPr>
      </w:pPr>
      <w:r>
        <w:rPr>
          <w:rFonts w:cs="Arial" w:ascii="Arial" w:hAnsi="Arial"/>
          <w:b/>
          <w:sz w:val="22"/>
          <w:u w:val="single"/>
        </w:rPr>
      </w:r>
    </w:p>
    <w:tbl>
      <w:tblPr>
        <w:tblW w:w="9360" w:type="dxa"/>
        <w:jc w:val="start"/>
        <w:tblInd w:w="108" w:type="dxa"/>
        <w:tblLayout w:type="fixed"/>
        <w:tblCellMar>
          <w:top w:w="0" w:type="dxa"/>
          <w:start w:w="108" w:type="dxa"/>
          <w:bottom w:w="0" w:type="dxa"/>
          <w:end w:w="108" w:type="dxa"/>
        </w:tblCellMar>
      </w:tblPr>
      <w:tblGrid>
        <w:gridCol w:w="9360"/>
      </w:tblGrid>
      <w:tr>
        <w:trPr>
          <w:trHeight w:val="2456" w:hRule="atLeast"/>
        </w:trPr>
        <w:tc>
          <w:tcPr>
            <w:tcW w:w="9360" w:type="dxa"/>
            <w:tcBorders>
              <w:top w:val="single" w:sz="4" w:space="0" w:color="000000"/>
              <w:start w:val="single" w:sz="4" w:space="0" w:color="000000"/>
              <w:bottom w:val="single" w:sz="4" w:space="0" w:color="000000"/>
              <w:end w:val="single" w:sz="4" w:space="0" w:color="000000"/>
            </w:tcBorders>
            <w:shd w:fill="F2F2F2" w:val="clear"/>
          </w:tcPr>
          <w:p>
            <w:pPr>
              <w:pStyle w:val="BodyText"/>
              <w:keepNext w:val="true"/>
              <w:numPr>
                <w:ilvl w:val="0"/>
                <w:numId w:val="4"/>
              </w:numPr>
              <w:jc w:val="both"/>
              <w:rPr>
                <w:rFonts w:ascii="Arial" w:hAnsi="Arial" w:cs="Arial"/>
              </w:rPr>
            </w:pPr>
            <w:r>
              <w:rPr>
                <w:rFonts w:cs="Arial" w:ascii="Arial" w:hAnsi="Arial"/>
              </w:rPr>
              <w:t>Met with outside counsel to discuss key tax matters and business matters on the pr</w:t>
            </w:r>
            <w:r>
              <w:rPr>
                <w:rFonts w:cs="Arial" w:ascii="Arial" w:hAnsi="Arial"/>
              </w:rPr>
              <w:t>oject.  Continued working on model and presentation materials with input from many parties.  (Project Ajax)</w:t>
            </w:r>
          </w:p>
          <w:p>
            <w:pPr>
              <w:pStyle w:val="BodyText"/>
              <w:keepNext w:val="true"/>
              <w:numPr>
                <w:ilvl w:val="0"/>
                <w:numId w:val="4"/>
              </w:numPr>
              <w:jc w:val="both"/>
              <w:rPr>
                <w:rFonts w:ascii="Arial" w:hAnsi="Arial" w:cs="Arial"/>
              </w:rPr>
            </w:pPr>
            <w:r>
              <w:rPr>
                <w:rFonts w:cs="Arial" w:ascii="Arial" w:hAnsi="Arial"/>
              </w:rPr>
              <w:t>Discussions with Wessex senior management and UK counsel regarding regulatory, tax and property issues.  Refined high-level financial overview and discussed same with Wessex management.  (Project Hitchcock)</w:t>
            </w:r>
          </w:p>
          <w:p>
            <w:pPr>
              <w:pStyle w:val="BodyText"/>
              <w:keepNext w:val="true"/>
              <w:numPr>
                <w:ilvl w:val="0"/>
                <w:numId w:val="4"/>
              </w:numPr>
              <w:jc w:val="both"/>
              <w:rPr>
                <w:rFonts w:ascii="Arial" w:hAnsi="Arial" w:cs="Arial"/>
              </w:rPr>
            </w:pPr>
            <w:r>
              <w:rPr>
                <w:rFonts w:cs="Arial" w:ascii="Arial" w:hAnsi="Arial"/>
              </w:rPr>
              <w:t>Completed an amendment to the Enron Finance Partners LLC agreement to reflect accurate capital account allocation provisions and revised and corrected schedules of interests.  Reviewed various partnership tax returns and associated filings related to Project Tammy.</w:t>
            </w:r>
          </w:p>
          <w:p>
            <w:pPr>
              <w:pStyle w:val="BodyText"/>
              <w:keepNext w:val="true"/>
              <w:numPr>
                <w:ilvl w:val="0"/>
                <w:numId w:val="4"/>
              </w:numPr>
              <w:jc w:val="both"/>
              <w:rPr>
                <w:rFonts w:ascii="Arial" w:hAnsi="Arial" w:cs="Arial"/>
              </w:rPr>
            </w:pPr>
            <w:r>
              <w:rPr>
                <w:rFonts w:cs="Arial" w:ascii="Arial" w:hAnsi="Arial"/>
              </w:rPr>
              <w:t>Coordinated with Hanover Compressor business team on transaction involving Enron Northwest Assets.  Attended to appropriate closing details.  Worked on quarterly earnings estimates.</w:t>
            </w:r>
          </w:p>
          <w:p>
            <w:pPr>
              <w:pStyle w:val="BodyText"/>
              <w:keepNext w:val="true"/>
              <w:numPr>
                <w:ilvl w:val="0"/>
                <w:numId w:val="4"/>
              </w:numPr>
              <w:spacing w:before="0" w:after="160"/>
              <w:jc w:val="both"/>
              <w:rPr>
                <w:rFonts w:ascii="Arial" w:hAnsi="Arial" w:cs="Arial"/>
              </w:rPr>
            </w:pPr>
            <w:r>
              <w:rPr>
                <w:rFonts w:cs="Arial" w:ascii="Arial" w:hAnsi="Arial"/>
              </w:rPr>
              <w:t>Held “page-turn” teleconference with counsel to all parties connected to Choctaw equity change.  Worked on resolving several issues related to same.</w:t>
            </w:r>
          </w:p>
        </w:tc>
      </w:tr>
    </w:tbl>
    <w:p>
      <w:pPr>
        <w:pStyle w:val="Normal"/>
        <w:jc w:val="both"/>
        <w:rPr>
          <w:rFonts w:ascii="Arial" w:hAnsi="Arial" w:cs="Arial"/>
        </w:rPr>
      </w:pPr>
      <w:r>
        <w:rPr>
          <w:rFonts w:cs="Arial" w:ascii="Arial" w:hAnsi="Arial"/>
        </w:rPr>
      </w:r>
    </w:p>
    <w:p>
      <w:pPr>
        <w:pStyle w:val="Normal"/>
        <w:jc w:val="both"/>
        <w:rPr/>
      </w:pPr>
      <w:r>
        <w:rPr>
          <w:rFonts w:cs="Arial" w:ascii="Arial" w:hAnsi="Arial"/>
        </w:rPr>
        <w:t>Held meetings with outside counsel and other members of tax department to discuss possible minority interest financing structures to be implemented underneath Enron Asset Holdings in respect of the EREC asset.</w:t>
      </w:r>
    </w:p>
    <w:p>
      <w:pPr>
        <w:pStyle w:val="Normal"/>
        <w:jc w:val="both"/>
        <w:rPr>
          <w:rFonts w:ascii="Arial" w:hAnsi="Arial" w:cs="Arial"/>
        </w:rPr>
      </w:pPr>
      <w:r>
        <w:rPr>
          <w:rFonts w:cs="Arial" w:ascii="Arial" w:hAnsi="Arial"/>
        </w:rPr>
      </w:r>
    </w:p>
    <w:p>
      <w:pPr>
        <w:pStyle w:val="Normal"/>
        <w:jc w:val="both"/>
        <w:rPr/>
      </w:pPr>
      <w:r>
        <w:rPr>
          <w:rFonts w:cs="Arial" w:ascii="Arial" w:hAnsi="Arial"/>
        </w:rPr>
        <w:t>Oneida Aircraft: Continued working with outside counsel in redrafting proposed amendment to United lease.  Commenced discussions with potential purchaser of 747.  Continued exploring temporary alternative uses for one of the aircraft.</w:t>
      </w:r>
    </w:p>
    <w:p>
      <w:pPr>
        <w:pStyle w:val="Normal"/>
        <w:jc w:val="both"/>
        <w:rPr>
          <w:rFonts w:ascii="Arial" w:hAnsi="Arial" w:cs="Arial"/>
        </w:rPr>
      </w:pPr>
      <w:r>
        <w:rPr>
          <w:rFonts w:cs="Arial" w:ascii="Arial" w:hAnsi="Arial"/>
        </w:rPr>
      </w:r>
    </w:p>
    <w:p>
      <w:pPr>
        <w:pStyle w:val="Normal"/>
        <w:jc w:val="both"/>
        <w:rPr/>
      </w:pPr>
      <w:r>
        <w:rPr>
          <w:rFonts w:cs="Arial" w:ascii="Arial" w:hAnsi="Arial"/>
        </w:rPr>
        <w:t>Revised and reviewed materials related to update of Enron senior management on operating issues related to existing projects.</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u w:val="single"/>
        </w:rPr>
        <w:t>R&amp;A group</w:t>
      </w:r>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rPr>
        <w:t>Began modifying the Enron Finance Partners, LLC (“EFP”) capital account model to illustrate liquidation in preparation for further discussions with Arthur Andersen.</w:t>
      </w:r>
    </w:p>
    <w:p>
      <w:pPr>
        <w:pStyle w:val="Normal"/>
        <w:jc w:val="both"/>
        <w:rPr>
          <w:rFonts w:ascii="Arial" w:hAnsi="Arial" w:cs="Arial"/>
        </w:rPr>
      </w:pPr>
      <w:r>
        <w:rPr>
          <w:rFonts w:cs="Arial" w:ascii="Arial" w:hAnsi="Arial"/>
        </w:rPr>
      </w:r>
    </w:p>
    <w:p>
      <w:pPr>
        <w:pStyle w:val="Normal"/>
        <w:jc w:val="both"/>
        <w:rPr/>
      </w:pPr>
      <w:r>
        <w:rPr>
          <w:rFonts w:cs="Arial" w:ascii="Arial" w:hAnsi="Arial"/>
        </w:rPr>
        <w:t>Filed the 2000 Zephyrus Investments, LLC partnership tax return as well as the 2000 Form 8804 for the Tax Matters Partner (Chase).  Worked with accounts payable to get check for withholding tax payment due.  Also pursuant to the Zephyrus Administration Agreement, sent K-1’s to each partner on the Tax Matters Partner’s behalf.</w:t>
      </w:r>
    </w:p>
    <w:p>
      <w:pPr>
        <w:pStyle w:val="Normal"/>
        <w:jc w:val="both"/>
        <w:rPr>
          <w:rFonts w:ascii="Arial" w:hAnsi="Arial" w:cs="Arial"/>
        </w:rPr>
      </w:pPr>
      <w:r>
        <w:rPr>
          <w:rFonts w:cs="Arial" w:ascii="Arial" w:hAnsi="Arial"/>
        </w:rPr>
      </w:r>
    </w:p>
    <w:p>
      <w:pPr>
        <w:pStyle w:val="Normal"/>
        <w:jc w:val="both"/>
        <w:rPr/>
      </w:pPr>
      <w:r>
        <w:rPr>
          <w:rFonts w:cs="Arial" w:ascii="Arial" w:hAnsi="Arial"/>
        </w:rPr>
        <w:t>Prepared revised 2000 annual financial statements for Zephyrus.  Computed estimated Section 1446 withholding tax to be withheld from November distributions to partners.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Completed monthly accounting entries and monthly financial statements for several Project Tammy entities.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Began preliminary calculation of ECT Investing Partners, LP Special Payment.</w:t>
      </w:r>
    </w:p>
    <w:p>
      <w:pPr>
        <w:pStyle w:val="Normal"/>
        <w:jc w:val="both"/>
        <w:rPr>
          <w:rFonts w:ascii="Arial" w:hAnsi="Arial" w:cs="Arial"/>
        </w:rPr>
      </w:pPr>
      <w:r>
        <w:rPr>
          <w:rFonts w:cs="Arial" w:ascii="Arial" w:hAnsi="Arial"/>
        </w:rPr>
      </w:r>
    </w:p>
    <w:p>
      <w:pPr>
        <w:pStyle w:val="Normal"/>
        <w:jc w:val="both"/>
        <w:rPr/>
      </w:pPr>
      <w:r>
        <w:rPr>
          <w:rFonts w:cs="Arial" w:ascii="Arial" w:hAnsi="Arial"/>
        </w:rPr>
        <w:t>Continued reviewing Texas Franchise tax returns for various Structured Transaction entities.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Obtained supporting documentation for 2 aircraft sales earlier this year.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Discussed intercompany interest calculation with Accounting and Treasury.  Working on corrections to 2001 calculation.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Working with accounting and tax personnel on issues relating to the unwind of the Project Raptor transaction.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refining Project Ajax model with Structured Transactions planning team.</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Continued working cash management issues for Maliseet Properties, Inc. with various internal and external personnel.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Worked with members of the Tax Department to resolve issues relating to unwinding Avici FAS 125 transactions under the Cherokee Finance, VOF structure.</w:t>
      </w:r>
    </w:p>
    <w:p>
      <w:pPr>
        <w:pStyle w:val="Normal"/>
        <w:jc w:val="both"/>
        <w:rPr>
          <w:rFonts w:ascii="Arial" w:hAnsi="Arial" w:cs="Arial"/>
        </w:rPr>
      </w:pPr>
      <w:r>
        <w:rPr>
          <w:rFonts w:cs="Arial" w:ascii="Arial" w:hAnsi="Arial"/>
        </w:rPr>
      </w:r>
    </w:p>
    <w:p>
      <w:pPr>
        <w:pStyle w:val="Normal"/>
        <w:jc w:val="both"/>
        <w:rPr/>
      </w:pPr>
      <w:r>
        <w:rPr>
          <w:rFonts w:cs="Arial" w:ascii="Arial" w:hAnsi="Arial"/>
        </w:rPr>
        <w:t>Completed and filed 2000 partnership tax returns for all Structured Transactions entities including Enron Finance Partners, LLC, as well as Global Finance entities such as Whitewing Associates, L.P.</w:t>
      </w:r>
    </w:p>
    <w:p>
      <w:pPr>
        <w:pStyle w:val="Normal"/>
        <w:jc w:val="both"/>
        <w:rPr>
          <w:rFonts w:ascii="Arial" w:hAnsi="Arial" w:cs="Arial"/>
        </w:rPr>
      </w:pPr>
      <w:r>
        <w:rPr>
          <w:rFonts w:cs="Arial" w:ascii="Arial" w:hAnsi="Arial"/>
        </w:rPr>
      </w:r>
    </w:p>
    <w:p>
      <w:pPr>
        <w:pStyle w:val="Normal"/>
        <w:jc w:val="both"/>
        <w:rPr/>
      </w:pPr>
      <w:r>
        <w:rPr>
          <w:rFonts w:cs="Arial" w:ascii="Arial" w:hAnsi="Arial"/>
        </w:rPr>
        <w:t>Working with accounting personnel and members of the Tax BAR on issues relating to 2002 operating plan and 2001 3</w:t>
      </w:r>
      <w:r>
        <w:rPr>
          <w:rFonts w:cs="Arial" w:ascii="Arial" w:hAnsi="Arial"/>
          <w:vertAlign w:val="superscript"/>
        </w:rPr>
        <w:t>rd</w:t>
      </w:r>
      <w:r>
        <w:rPr>
          <w:rFonts w:cs="Arial" w:ascii="Arial" w:hAnsi="Arial"/>
        </w:rPr>
        <w:t xml:space="preserve"> current estimate.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er"/>
        <w:tabs>
          <w:tab w:val="clear" w:pos="4320"/>
          <w:tab w:val="clear" w:pos="8640"/>
        </w:tabs>
        <w:rPr>
          <w:b/>
          <w:bCs/>
          <w:sz w:val="22"/>
          <w:u w:val="single"/>
        </w:rPr>
      </w:pPr>
      <w:r>
        <w:rPr>
          <w:b/>
          <w:bCs/>
          <w:sz w:val="22"/>
          <w:u w:val="single"/>
        </w:rPr>
        <w:t>TAX REPORTING &amp; ANALYSIS (RICE)</w:t>
      </w:r>
    </w:p>
    <w:p>
      <w:pPr>
        <w:pStyle w:val="Header"/>
        <w:tabs>
          <w:tab w:val="clear" w:pos="4320"/>
          <w:tab w:val="clear" w:pos="8640"/>
        </w:tabs>
        <w:rPr>
          <w:b/>
          <w:bCs/>
          <w:sz w:val="22"/>
          <w:u w:val="single"/>
        </w:rPr>
      </w:pPr>
      <w:r>
        <w:rPr>
          <w:b/>
          <w:bCs/>
          <w:sz w:val="22"/>
          <w:u w:val="single"/>
        </w:rPr>
      </w:r>
    </w:p>
    <w:p>
      <w:pPr>
        <w:pStyle w:val="Normal"/>
        <w:rPr>
          <w:rFonts w:ascii="Arial" w:hAnsi="Arial" w:cs="Arial"/>
          <w:bCs/>
          <w:u w:val="single"/>
        </w:rPr>
      </w:pPr>
      <w:r>
        <w:rPr>
          <w:rFonts w:cs="Arial" w:ascii="Arial" w:hAnsi="Arial"/>
          <w:bCs/>
          <w:u w:val="single"/>
        </w:rPr>
        <w:t>MANAGEMENT, ANALYSIS, REPORTING &amp; CONTROL (MARC)- (LEE)</w:t>
      </w:r>
    </w:p>
    <w:p>
      <w:pPr>
        <w:pStyle w:val="Normal"/>
        <w:rPr>
          <w:rFonts w:ascii="Arial" w:hAnsi="Arial" w:cs="Arial"/>
          <w:bCs/>
          <w:u w:val="single"/>
        </w:rPr>
      </w:pPr>
      <w:r>
        <w:rPr>
          <w:rFonts w:cs="Arial" w:ascii="Arial" w:hAnsi="Arial"/>
          <w:bCs/>
          <w:u w:val="single"/>
        </w:rPr>
      </w:r>
    </w:p>
    <w:p>
      <w:pPr>
        <w:pStyle w:val="Normal"/>
        <w:jc w:val="both"/>
        <w:rPr>
          <w:rFonts w:ascii="Arial" w:hAnsi="Arial" w:cs="Arial"/>
          <w:i/>
          <w:i/>
          <w:iCs/>
          <w:color w:val="000000"/>
          <w:u w:val="single"/>
        </w:rPr>
      </w:pPr>
      <w:r>
        <w:rPr>
          <w:rFonts w:cs="Arial" w:ascii="Arial" w:hAnsi="Arial"/>
          <w:i/>
          <w:iCs/>
          <w:color w:val="000000"/>
          <w:u w:val="single"/>
        </w:rPr>
        <w:t>Federal Income Tax</w:t>
      </w:r>
    </w:p>
    <w:p>
      <w:pPr>
        <w:pStyle w:val="Normal"/>
        <w:jc w:val="both"/>
        <w:rPr>
          <w:rFonts w:ascii="Arial" w:hAnsi="Arial" w:cs="Arial"/>
        </w:rPr>
      </w:pPr>
      <w:r>
        <w:rPr>
          <w:rFonts w:cs="Arial" w:ascii="Arial" w:hAnsi="Arial"/>
        </w:rPr>
        <w:t>Continued analysis of Quarter–end close adjustments as they impact taxable income and the tax provision for September close.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to work on the 2000 Return to Accrual analysis and the Net Operating Loss Benefit allocation.</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Began work on July and August Deferred Liability Rollforward.</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 xml:space="preserve">Began accumulating all payments and refunds for the 10Q. </w:t>
      </w:r>
    </w:p>
    <w:p>
      <w:pPr>
        <w:pStyle w:val="Normal"/>
        <w:autoSpaceDE w:val="false"/>
        <w:jc w:val="both"/>
        <w:rPr>
          <w:rFonts w:ascii="Arial" w:hAnsi="Arial" w:cs="Arial"/>
        </w:rPr>
      </w:pPr>
      <w:r>
        <w:rPr>
          <w:rFonts w:cs="Arial" w:ascii="Arial" w:hAnsi="Arial"/>
        </w:rPr>
      </w:r>
    </w:p>
    <w:p>
      <w:pPr>
        <w:pStyle w:val="Normal"/>
        <w:jc w:val="both"/>
        <w:rPr/>
      </w:pPr>
      <w:r>
        <w:rPr>
          <w:rFonts w:cs="Arial" w:ascii="Arial" w:hAnsi="Arial"/>
          <w:i/>
          <w:iCs/>
          <w:u w:val="single"/>
        </w:rPr>
        <w:t>State Returns</w:t>
      </w:r>
      <w:r>
        <w:rPr>
          <w:rFonts w:cs="Arial" w:ascii="Arial" w:hAnsi="Arial"/>
        </w:rPr>
        <w:t>:</w:t>
      </w:r>
    </w:p>
    <w:p>
      <w:pPr>
        <w:pStyle w:val="Normal"/>
        <w:jc w:val="both"/>
        <w:rPr/>
      </w:pPr>
      <w:r>
        <w:rPr>
          <w:rFonts w:cs="Arial" w:ascii="Arial" w:hAnsi="Arial"/>
        </w:rPr>
        <w:t>All unitary returns due October 15</w:t>
      </w:r>
      <w:r>
        <w:rPr>
          <w:rFonts w:cs="Arial" w:ascii="Arial" w:hAnsi="Arial"/>
          <w:vertAlign w:val="superscript"/>
        </w:rPr>
        <w:t>th</w:t>
      </w:r>
      <w:r>
        <w:rPr>
          <w:rFonts w:cs="Arial" w:ascii="Arial" w:hAnsi="Arial"/>
        </w:rPr>
        <w:t xml:space="preserve"> and October 30</w:t>
      </w:r>
      <w:r>
        <w:rPr>
          <w:rFonts w:cs="Arial" w:ascii="Arial" w:hAnsi="Arial"/>
          <w:vertAlign w:val="superscript"/>
        </w:rPr>
        <w:t>th</w:t>
      </w:r>
      <w:r>
        <w:rPr>
          <w:rFonts w:cs="Arial" w:ascii="Arial" w:hAnsi="Arial"/>
        </w:rPr>
        <w:t xml:space="preserve"> have been completed.  Continue to prepare and review the remaining returns due November 15</w:t>
      </w:r>
      <w:r>
        <w:rPr>
          <w:rFonts w:cs="Arial" w:ascii="Arial" w:hAnsi="Arial"/>
          <w:vertAlign w:val="superscript"/>
        </w:rPr>
        <w:t>th</w:t>
      </w:r>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i/>
          <w:iCs/>
          <w:u w:val="single"/>
        </w:rPr>
        <w:t>Other Analysis</w:t>
      </w:r>
      <w:r>
        <w:rPr>
          <w:rFonts w:cs="Arial" w:ascii="Arial" w:hAnsi="Arial"/>
          <w:u w:val="single"/>
        </w:rPr>
        <w:t>:</w:t>
      </w:r>
    </w:p>
    <w:p>
      <w:pPr>
        <w:pStyle w:val="Normal"/>
        <w:jc w:val="both"/>
        <w:rPr>
          <w:rFonts w:ascii="Arial" w:hAnsi="Arial" w:cs="Arial"/>
        </w:rPr>
      </w:pPr>
      <w:r>
        <w:rPr>
          <w:rFonts w:cs="Arial" w:ascii="Arial" w:hAnsi="Arial"/>
        </w:rPr>
        <w:t>Began Cumulative Build meetings for the more difficult companies.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Completed determination of rollout of Canadian deferred tax liabilities resulting from change in Canadian corporate tax rate.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Began compiling state taxes paid by company, by state in order to determine the 2000 separate reporting state effective rate.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identifying the issues associated with the formation of ServiceCo and the pushdown of numerous service subsidiaries to ServiceCo.  Began requesting information necessary to prepare federal and state tax returns for the short period associated with the merger of the service companies.</w:t>
      </w:r>
    </w:p>
    <w:p>
      <w:pPr>
        <w:pStyle w:val="Normal"/>
        <w:jc w:val="both"/>
        <w:rPr>
          <w:rFonts w:ascii="Arial" w:hAnsi="Arial" w:cs="Arial"/>
        </w:rPr>
      </w:pPr>
      <w:r>
        <w:rPr>
          <w:rFonts w:cs="Arial" w:ascii="Arial" w:hAnsi="Arial"/>
        </w:rPr>
      </w:r>
    </w:p>
    <w:p>
      <w:pPr>
        <w:pStyle w:val="BodyText2"/>
        <w:rPr>
          <w:rFonts w:cs="Arial"/>
          <w:sz w:val="20"/>
        </w:rPr>
      </w:pPr>
      <w:r>
        <w:rPr>
          <w:rFonts w:cs="Arial"/>
          <w:sz w:val="20"/>
        </w:rPr>
        <w:t>Tested SAP consolidations module to determine if useable during Form 5471 Preparation.</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Circled back with the pilot group testing the state enhancement to TIS.  Gathered suggestions on the functionality and the process of integrating it into the provision.</w:t>
      </w:r>
    </w:p>
    <w:p>
      <w:pPr>
        <w:pStyle w:val="Header"/>
        <w:tabs>
          <w:tab w:val="clear" w:pos="4320"/>
          <w:tab w:val="clear" w:pos="8640"/>
        </w:tabs>
        <w:jc w:val="both"/>
        <w:rPr>
          <w:rFonts w:ascii="Arial" w:hAnsi="Arial" w:cs="Arial"/>
          <w:sz w:val="20"/>
        </w:rPr>
      </w:pPr>
      <w:r>
        <w:rPr>
          <w:rFonts w:cs="Arial"/>
          <w:sz w:val="20"/>
        </w:rPr>
      </w:r>
    </w:p>
    <w:p>
      <w:pPr>
        <w:pStyle w:val="Normal"/>
        <w:jc w:val="both"/>
        <w:rPr>
          <w:rFonts w:ascii="Arial" w:hAnsi="Arial" w:cs="Arial"/>
        </w:rPr>
      </w:pPr>
      <w:r>
        <w:rPr>
          <w:rFonts w:cs="Arial" w:ascii="Arial" w:hAnsi="Arial"/>
        </w:rPr>
        <w:t>Continued to develop and coordinate a comprehensive workplan for all compliance.</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rPr>
      </w:pPr>
      <w:r>
        <w:rPr>
          <w:rFonts w:cs="Arial" w:ascii="Arial" w:hAnsi="Arial"/>
        </w:rPr>
        <w:t>Reviewed presentation of Tax Department growth, objectives and operations with R. J. Hermann.</w:t>
      </w:r>
    </w:p>
    <w:p>
      <w:pPr>
        <w:pStyle w:val="Normal"/>
        <w:jc w:val="both"/>
        <w:rPr>
          <w:rFonts w:ascii="Arial" w:hAnsi="Arial" w:cs="Arial"/>
        </w:rPr>
      </w:pPr>
      <w:r>
        <w:rPr>
          <w:rFonts w:cs="Arial" w:ascii="Arial" w:hAnsi="Arial"/>
        </w:rPr>
      </w:r>
    </w:p>
    <w:p>
      <w:pPr>
        <w:pStyle w:val="Normal"/>
        <w:jc w:val="both"/>
        <w:rPr/>
      </w:pPr>
      <w:r>
        <w:rPr>
          <w:rFonts w:cs="Arial" w:ascii="Arial" w:hAnsi="Arial"/>
          <w:i/>
          <w:iCs/>
          <w:u w:val="single"/>
        </w:rPr>
        <w:t>Work Relating to Tax Reorganization</w:t>
      </w:r>
      <w:r>
        <w:rPr>
          <w:rFonts w:cs="Arial" w:ascii="Arial" w:hAnsi="Arial"/>
        </w:rPr>
        <w:t>:</w:t>
      </w:r>
    </w:p>
    <w:p>
      <w:pPr>
        <w:pStyle w:val="Normal"/>
        <w:jc w:val="both"/>
        <w:rPr>
          <w:rFonts w:ascii="Arial" w:hAnsi="Arial" w:cs="Arial"/>
        </w:rPr>
      </w:pPr>
      <w:r>
        <w:rPr>
          <w:rFonts w:cs="Arial" w:ascii="Arial" w:hAnsi="Arial"/>
        </w:rPr>
        <w:t>Met with London Group regarding potential of transferring monthly accrual and year-end work to Houston in light of London Staff reductions.</w:t>
      </w:r>
    </w:p>
    <w:p>
      <w:pPr>
        <w:pStyle w:val="Normal"/>
        <w:jc w:val="both"/>
        <w:rPr>
          <w:rFonts w:ascii="Arial" w:hAnsi="Arial" w:cs="Arial"/>
        </w:rPr>
      </w:pPr>
      <w:r>
        <w:rPr>
          <w:rFonts w:cs="Arial" w:ascii="Arial" w:hAnsi="Arial"/>
        </w:rPr>
      </w:r>
    </w:p>
    <w:p>
      <w:pPr>
        <w:pStyle w:val="Normal"/>
        <w:jc w:val="both"/>
        <w:rPr/>
      </w:pPr>
      <w:r>
        <w:rPr>
          <w:rFonts w:cs="Arial" w:ascii="Arial" w:hAnsi="Arial"/>
          <w:i/>
          <w:iCs/>
          <w:u w:val="single"/>
        </w:rPr>
        <w:t>Europe</w:t>
      </w:r>
      <w:r>
        <w:rPr>
          <w:rFonts w:cs="Arial" w:ascii="Arial" w:hAnsi="Arial"/>
        </w:rPr>
        <w:t>:</w:t>
      </w:r>
    </w:p>
    <w:p>
      <w:pPr>
        <w:pStyle w:val="Normal"/>
        <w:jc w:val="both"/>
        <w:rPr/>
      </w:pPr>
      <w:r>
        <w:rPr>
          <w:rFonts w:cs="Arial" w:ascii="Arial" w:hAnsi="Arial"/>
          <w:i/>
          <w:iCs/>
          <w:u w:val="single"/>
        </w:rPr>
        <w:t>Tax Audits</w:t>
      </w:r>
      <w:r>
        <w:rPr>
          <w:rFonts w:cs="Arial" w:ascii="Arial" w:hAnsi="Arial"/>
        </w:rPr>
        <w:t>:</w:t>
      </w:r>
    </w:p>
    <w:p>
      <w:pPr>
        <w:pStyle w:val="Header"/>
        <w:tabs>
          <w:tab w:val="clear" w:pos="4320"/>
          <w:tab w:val="clear" w:pos="8640"/>
        </w:tabs>
        <w:jc w:val="both"/>
        <w:rPr>
          <w:rFonts w:cs="Arial"/>
          <w:sz w:val="20"/>
        </w:rPr>
      </w:pPr>
      <w:r>
        <w:rPr>
          <w:rFonts w:cs="Arial"/>
          <w:sz w:val="20"/>
        </w:rPr>
        <w:t>Prepared Dutch &amp; Swiss VAT returns.</w:t>
      </w:r>
    </w:p>
    <w:p>
      <w:pPr>
        <w:pStyle w:val="Normal"/>
        <w:jc w:val="both"/>
        <w:rPr>
          <w:rFonts w:ascii="Arial" w:hAnsi="Arial" w:cs="Arial"/>
        </w:rPr>
      </w:pPr>
      <w:r>
        <w:rPr>
          <w:rFonts w:cs="Arial" w:ascii="Arial" w:hAnsi="Arial"/>
        </w:rPr>
        <w:t>Start of the 2001 German VAT Audit.</w:t>
      </w:r>
    </w:p>
    <w:p>
      <w:pPr>
        <w:pStyle w:val="Normal"/>
        <w:jc w:val="both"/>
        <w:rPr>
          <w:rFonts w:ascii="Arial" w:hAnsi="Arial" w:cs="Arial"/>
        </w:rPr>
      </w:pPr>
      <w:r>
        <w:rPr>
          <w:rFonts w:cs="Arial" w:ascii="Arial" w:hAnsi="Arial"/>
        </w:rPr>
        <w:t>Training and developing VAT return procedures for Global Wholesale Markets Group.</w:t>
      </w:r>
    </w:p>
    <w:p>
      <w:pPr>
        <w:pStyle w:val="Normal"/>
        <w:jc w:val="both"/>
        <w:rPr>
          <w:rFonts w:ascii="Arial" w:hAnsi="Arial" w:cs="Arial"/>
        </w:rPr>
      </w:pPr>
      <w:r>
        <w:rPr>
          <w:rFonts w:cs="Arial" w:ascii="Arial" w:hAnsi="Arial"/>
        </w:rPr>
      </w:r>
    </w:p>
    <w:p>
      <w:pPr>
        <w:pStyle w:val="Normal"/>
        <w:jc w:val="both"/>
        <w:rPr/>
      </w:pPr>
      <w:r>
        <w:rPr>
          <w:rFonts w:cs="Arial" w:ascii="Arial" w:hAnsi="Arial"/>
          <w:i/>
          <w:iCs/>
          <w:u w:val="single"/>
        </w:rPr>
        <w:t>UK &amp; Other Compliance</w:t>
      </w:r>
      <w:r>
        <w:rPr>
          <w:rFonts w:cs="Arial" w:ascii="Arial" w:hAnsi="Arial"/>
          <w:u w:val="single"/>
        </w:rPr>
        <w:t>:</w:t>
      </w:r>
    </w:p>
    <w:p>
      <w:pPr>
        <w:pStyle w:val="Normal"/>
        <w:jc w:val="both"/>
        <w:rPr>
          <w:rFonts w:ascii="Arial" w:hAnsi="Arial" w:cs="Arial"/>
        </w:rPr>
      </w:pPr>
      <w:r>
        <w:rPr>
          <w:rFonts w:cs="Arial" w:ascii="Arial" w:hAnsi="Arial"/>
        </w:rPr>
        <w:t xml:space="preserve">Continuing work on preparing and reviewing various UK Income Tax returns.  </w:t>
      </w:r>
    </w:p>
    <w:p>
      <w:pPr>
        <w:pStyle w:val="Normal"/>
        <w:jc w:val="both"/>
        <w:rPr>
          <w:rFonts w:ascii="Arial" w:hAnsi="Arial" w:cs="Arial"/>
        </w:rPr>
      </w:pPr>
      <w:r>
        <w:rPr>
          <w:rFonts w:cs="Arial" w:ascii="Arial" w:hAnsi="Arial"/>
        </w:rPr>
        <w:t>Continuing efforts to minimize VAT fees throughout UK &amp; Europe.</w:t>
      </w:r>
    </w:p>
    <w:p>
      <w:pPr>
        <w:pStyle w:val="Normal"/>
        <w:jc w:val="both"/>
        <w:rPr>
          <w:rFonts w:ascii="Arial" w:hAnsi="Arial" w:cs="Arial"/>
        </w:rPr>
      </w:pPr>
      <w:r>
        <w:rPr>
          <w:rFonts w:cs="Arial" w:ascii="Arial" w:hAnsi="Arial"/>
        </w:rPr>
        <w:t>Finalizing Deal Memo re: Sutton Bridge.</w:t>
      </w:r>
    </w:p>
    <w:p>
      <w:pPr>
        <w:pStyle w:val="Normal"/>
        <w:jc w:val="both"/>
        <w:rPr>
          <w:rFonts w:ascii="Arial" w:hAnsi="Arial" w:cs="Arial"/>
        </w:rPr>
      </w:pPr>
      <w:r>
        <w:rPr>
          <w:rFonts w:cs="Arial" w:ascii="Arial" w:hAnsi="Arial"/>
        </w:rPr>
      </w:r>
    </w:p>
    <w:p>
      <w:pPr>
        <w:pStyle w:val="Normal"/>
        <w:jc w:val="both"/>
        <w:rPr/>
      </w:pPr>
      <w:r>
        <w:rPr>
          <w:rFonts w:cs="Arial" w:ascii="Arial" w:hAnsi="Arial"/>
          <w:i/>
          <w:iCs/>
          <w:u w:val="single"/>
        </w:rPr>
        <w:t>Other Analysis</w:t>
      </w:r>
      <w:r>
        <w:rPr>
          <w:rFonts w:cs="Arial" w:ascii="Arial" w:hAnsi="Arial"/>
          <w:u w:val="single"/>
        </w:rPr>
        <w:t>:</w:t>
      </w:r>
    </w:p>
    <w:p>
      <w:pPr>
        <w:pStyle w:val="Normal"/>
        <w:jc w:val="both"/>
        <w:rPr>
          <w:rFonts w:ascii="Arial" w:hAnsi="Arial" w:cs="Arial"/>
        </w:rPr>
      </w:pPr>
      <w:r>
        <w:rPr>
          <w:rFonts w:cs="Arial" w:ascii="Arial" w:hAnsi="Arial"/>
        </w:rPr>
        <w:t xml:space="preserve">Work on the Europe 3CE and 2002 Plan. </w:t>
      </w:r>
    </w:p>
    <w:p>
      <w:pPr>
        <w:pStyle w:val="Normal"/>
        <w:jc w:val="both"/>
        <w:rPr>
          <w:rFonts w:ascii="Arial" w:hAnsi="Arial" w:cs="Arial"/>
        </w:rPr>
      </w:pPr>
      <w:r>
        <w:rPr>
          <w:rFonts w:cs="Arial" w:ascii="Arial" w:hAnsi="Arial"/>
        </w:rPr>
        <w:t>Tax provision review for the finalization of 2000 UK GAAP accounts.</w:t>
      </w:r>
    </w:p>
    <w:p>
      <w:pPr>
        <w:pStyle w:val="Normal"/>
        <w:jc w:val="both"/>
        <w:rPr>
          <w:rFonts w:ascii="Arial" w:hAnsi="Arial" w:cs="Arial"/>
        </w:rPr>
      </w:pPr>
      <w:r>
        <w:rPr>
          <w:rFonts w:cs="Arial" w:ascii="Arial" w:hAnsi="Arial"/>
        </w:rPr>
        <w:t>Review of 2000 Dutch returns prepared by PWC.</w:t>
      </w:r>
    </w:p>
    <w:p>
      <w:pPr>
        <w:pStyle w:val="Normal"/>
        <w:jc w:val="both"/>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BUSINESS ANALYSIS &amp; REPORTING (BURGESS)</w:t>
      </w:r>
    </w:p>
    <w:p>
      <w:pPr>
        <w:pStyle w:val="Normal"/>
        <w:autoSpaceDE w:val="false"/>
        <w:rPr>
          <w:rFonts w:ascii="Arial" w:hAnsi="Arial" w:cs="Arial"/>
          <w:color w:val="000000"/>
          <w:szCs w:val="22"/>
          <w:u w:val="single"/>
        </w:rPr>
      </w:pPr>
      <w:r>
        <w:rPr>
          <w:rFonts w:cs="Arial" w:ascii="Arial" w:hAnsi="Arial"/>
          <w:color w:val="000000"/>
          <w:szCs w:val="22"/>
          <w:u w:val="single"/>
        </w:rPr>
      </w:r>
    </w:p>
    <w:p>
      <w:pPr>
        <w:pStyle w:val="Normal"/>
        <w:tabs>
          <w:tab w:val="left" w:pos="720" w:leader="none"/>
        </w:tabs>
        <w:jc w:val="both"/>
        <w:rPr>
          <w:rFonts w:ascii="Arial" w:hAnsi="Arial" w:cs="Arial"/>
          <w:u w:val="single"/>
        </w:rPr>
      </w:pPr>
      <w:r>
        <w:rPr>
          <w:rFonts w:cs="Arial" w:ascii="Arial" w:hAnsi="Arial"/>
          <w:i/>
          <w:iCs/>
          <w:u w:val="single"/>
        </w:rPr>
        <w:t>Americas/Global Markets/Industrial Markets/Net Works (Eggebrecht)</w:t>
      </w:r>
    </w:p>
    <w:p>
      <w:pPr>
        <w:pStyle w:val="Normal"/>
        <w:tabs>
          <w:tab w:val="left" w:pos="720" w:leader="none"/>
        </w:tabs>
        <w:jc w:val="both"/>
        <w:rPr>
          <w:rFonts w:ascii="Arial" w:hAnsi="Arial" w:cs="Arial"/>
        </w:rPr>
      </w:pPr>
      <w:r>
        <w:rPr>
          <w:rFonts w:cs="Arial" w:ascii="Arial" w:hAnsi="Arial"/>
        </w:rPr>
        <w:t>Participated in conference calls with Accounting, P&amp;S, AA-Calgary, and Compagnie de Papiers Stadocona to coordinate the Canadian tax compliance for Newman Investments Co. and Hansen Investments Co.  AA-Calgary is drafting an engagement letter for the 2001 compliance.</w:t>
      </w:r>
    </w:p>
    <w:p>
      <w:pPr>
        <w:pStyle w:val="Header"/>
        <w:tabs>
          <w:tab w:val="clear" w:pos="4320"/>
          <w:tab w:val="clear" w:pos="8640"/>
        </w:tabs>
        <w:jc w:val="both"/>
        <w:rPr>
          <w:rFonts w:ascii="Arial" w:hAnsi="Arial" w:cs="Arial"/>
        </w:rPr>
      </w:pPr>
      <w:r>
        <w:rPr>
          <w:rFonts w:cs="Arial"/>
        </w:rPr>
      </w:r>
    </w:p>
    <w:p>
      <w:pPr>
        <w:pStyle w:val="Normal"/>
        <w:jc w:val="both"/>
        <w:rPr>
          <w:rFonts w:ascii="Arial" w:hAnsi="Arial" w:cs="Arial"/>
        </w:rPr>
      </w:pPr>
      <w:r>
        <w:rPr>
          <w:rFonts w:cs="Arial" w:ascii="Arial" w:hAnsi="Arial"/>
        </w:rPr>
        <w:t>Discussed with P&amp;S the Velocity 1 and 2 book and tax reporting information required for deal memo completion.  Velocity 1 and 2 involved a $542m sale of assets to the Whitewing structure in December 2000.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Reviewed tax return information from Project Hornet dataroom regarding the potential acquisition of 20 power generation facilities in the US.  Further due diligence is currently on hold.</w:t>
      </w:r>
    </w:p>
    <w:p>
      <w:pPr>
        <w:pStyle w:val="Normal"/>
        <w:jc w:val="both"/>
        <w:rPr>
          <w:rFonts w:ascii="Arial" w:hAnsi="Arial" w:cs="Arial"/>
        </w:rPr>
      </w:pPr>
      <w:r>
        <w:rPr>
          <w:rFonts w:cs="Arial" w:ascii="Arial" w:hAnsi="Arial"/>
        </w:rPr>
      </w:r>
    </w:p>
    <w:p>
      <w:pPr>
        <w:pStyle w:val="Normal"/>
        <w:autoSpaceDE w:val="false"/>
        <w:jc w:val="both"/>
        <w:rPr>
          <w:rFonts w:ascii="Arial" w:hAnsi="Arial" w:cs="Arial"/>
          <w:szCs w:val="22"/>
        </w:rPr>
      </w:pPr>
      <w:r>
        <w:rPr>
          <w:rFonts w:cs="Arial" w:ascii="Arial" w:hAnsi="Arial"/>
          <w:szCs w:val="22"/>
        </w:rPr>
        <w:t>Gathering historical information of ECTR Singapore Pte Ltd. for P&amp;S tax benefit maximization analysis.</w:t>
      </w:r>
    </w:p>
    <w:p>
      <w:pPr>
        <w:pStyle w:val="Normal"/>
        <w:jc w:val="both"/>
        <w:rPr>
          <w:rFonts w:ascii="Arial" w:hAnsi="Arial" w:cs="Arial"/>
          <w:szCs w:val="22"/>
        </w:rPr>
      </w:pPr>
      <w:r>
        <w:rPr>
          <w:rFonts w:cs="Arial" w:ascii="Arial" w:hAnsi="Arial"/>
          <w:szCs w:val="22"/>
        </w:rPr>
      </w:r>
    </w:p>
    <w:p>
      <w:pPr>
        <w:pStyle w:val="Normal"/>
        <w:jc w:val="both"/>
        <w:rPr/>
      </w:pPr>
      <w:r>
        <w:rPr>
          <w:rFonts w:cs="Arial" w:ascii="Arial" w:hAnsi="Arial"/>
        </w:rPr>
        <w:t>Subsequent to the $138m sale of SO</w:t>
      </w:r>
      <w:r>
        <w:rPr>
          <w:rFonts w:cs="Arial" w:ascii="Arial" w:hAnsi="Arial"/>
          <w:vertAlign w:val="subscript"/>
        </w:rPr>
        <w:t>2</w:t>
      </w:r>
      <w:r>
        <w:rPr>
          <w:rFonts w:cs="Arial" w:ascii="Arial" w:hAnsi="Arial"/>
        </w:rPr>
        <w:t xml:space="preserve"> credits in the 3rd quarter, met with Accounting and MARC to review the book and tax treatment.  The sale highlighted the need to implement a mechanism to more accurately track tax basis in inventory.</w:t>
      </w:r>
    </w:p>
    <w:p>
      <w:pPr>
        <w:pStyle w:val="Header"/>
        <w:tabs>
          <w:tab w:val="clear" w:pos="4320"/>
          <w:tab w:val="clear" w:pos="8640"/>
        </w:tabs>
        <w:jc w:val="both"/>
        <w:rPr>
          <w:rFonts w:ascii="Arial" w:hAnsi="Arial" w:cs="Arial"/>
        </w:rPr>
      </w:pPr>
      <w:r>
        <w:rPr>
          <w:rFonts w:cs="Arial"/>
        </w:rPr>
      </w:r>
    </w:p>
    <w:p>
      <w:pPr>
        <w:pStyle w:val="Normal"/>
        <w:jc w:val="both"/>
        <w:rPr>
          <w:rFonts w:ascii="Arial" w:hAnsi="Arial" w:cs="Arial"/>
          <w:i/>
          <w:i/>
          <w:iCs/>
          <w:u w:val="single"/>
        </w:rPr>
      </w:pPr>
      <w:r>
        <w:rPr>
          <w:rFonts w:cs="Arial" w:ascii="Arial" w:hAnsi="Arial"/>
          <w:i/>
          <w:iCs/>
          <w:u w:val="single"/>
        </w:rPr>
        <w:t>Europe/Principal Investments/Azurix (Burgess)</w:t>
      </w:r>
    </w:p>
    <w:p>
      <w:pPr>
        <w:pStyle w:val="Normal"/>
        <w:jc w:val="both"/>
        <w:rPr>
          <w:rFonts w:ascii="Arial" w:hAnsi="Arial" w:cs="Arial"/>
        </w:rPr>
      </w:pPr>
      <w:r>
        <w:rPr>
          <w:rFonts w:cs="Arial" w:ascii="Arial" w:hAnsi="Arial"/>
        </w:rPr>
        <w:t xml:space="preserve">Participated in videoconference with PwC-London, PwC-Rotterdam, London Tax and Accounting, and MARC-International regarding the Dutch compliance effort.  Discussed issues that arouse during the 1999 compliance effort and how they could be eliminated or minimized for 2000.  </w:t>
      </w:r>
    </w:p>
    <w:p>
      <w:pPr>
        <w:pStyle w:val="Normal"/>
        <w:autoSpaceDE w:val="false"/>
        <w:jc w:val="both"/>
        <w:rPr>
          <w:rFonts w:ascii="Arial" w:hAnsi="Arial" w:cs="Arial"/>
          <w:szCs w:val="22"/>
        </w:rPr>
      </w:pPr>
      <w:r>
        <w:rPr>
          <w:rFonts w:cs="Arial" w:ascii="Arial" w:hAnsi="Arial"/>
          <w:szCs w:val="22"/>
        </w:rPr>
      </w:r>
    </w:p>
    <w:p>
      <w:pPr>
        <w:pStyle w:val="Normal"/>
        <w:autoSpaceDE w:val="false"/>
        <w:jc w:val="both"/>
        <w:rPr>
          <w:rFonts w:ascii="Arial" w:hAnsi="Arial" w:cs="Arial"/>
        </w:rPr>
      </w:pPr>
      <w:r>
        <w:rPr>
          <w:rFonts w:cs="Arial" w:ascii="Arial" w:hAnsi="Arial"/>
        </w:rPr>
        <w:t>Met with MARC-PRM to discuss proper tax treatment of various prepay transactions.  Discussions focused on knowledge sharing and creation of standard procedures for handling such transactions.</w:t>
      </w:r>
    </w:p>
    <w:p>
      <w:pPr>
        <w:pStyle w:val="Normal"/>
        <w:tabs>
          <w:tab w:val="left" w:pos="720" w:leader="none"/>
        </w:tabs>
        <w:jc w:val="both"/>
        <w:rPr>
          <w:rFonts w:ascii="Arial" w:hAnsi="Arial" w:cs="Arial"/>
        </w:rPr>
      </w:pPr>
      <w:r>
        <w:rPr>
          <w:rFonts w:cs="Arial" w:ascii="Arial" w:hAnsi="Arial"/>
        </w:rPr>
      </w:r>
    </w:p>
    <w:p>
      <w:pPr>
        <w:pStyle w:val="Normal"/>
        <w:autoSpaceDE w:val="false"/>
        <w:jc w:val="both"/>
        <w:rPr>
          <w:rFonts w:ascii="Arial" w:hAnsi="Arial" w:cs="Arial"/>
          <w:szCs w:val="22"/>
        </w:rPr>
      </w:pPr>
      <w:r>
        <w:rPr>
          <w:rFonts w:cs="Arial" w:ascii="Arial" w:hAnsi="Arial"/>
          <w:szCs w:val="22"/>
        </w:rPr>
        <w:t>Began tax basis computations for various EPI holdings proposed for sale before year-end.  Provided P&amp;S tax basis information for Linder and Hornbeck-Leevac investments that could close by the end of October.</w:t>
      </w:r>
    </w:p>
    <w:p>
      <w:pPr>
        <w:pStyle w:val="Normal"/>
        <w:autoSpaceDE w:val="false"/>
        <w:jc w:val="both"/>
        <w:rPr>
          <w:rFonts w:ascii="Arial" w:hAnsi="Arial" w:cs="Arial"/>
          <w:szCs w:val="22"/>
        </w:rPr>
      </w:pPr>
      <w:r>
        <w:rPr>
          <w:rFonts w:cs="Arial" w:ascii="Arial" w:hAnsi="Arial"/>
          <w:szCs w:val="22"/>
        </w:rPr>
      </w:r>
    </w:p>
    <w:p>
      <w:pPr>
        <w:pStyle w:val="Normal"/>
        <w:tabs>
          <w:tab w:val="left" w:pos="720" w:leader="none"/>
        </w:tabs>
        <w:jc w:val="both"/>
        <w:rPr>
          <w:rFonts w:ascii="Arial" w:hAnsi="Arial" w:cs="Arial"/>
        </w:rPr>
      </w:pPr>
      <w:r>
        <w:rPr>
          <w:rFonts w:cs="Arial" w:ascii="Arial" w:hAnsi="Arial"/>
        </w:rPr>
        <w:t>Met with P&amp;S to identify what needs to be done before year-end for the Azurix group.</w:t>
      </w:r>
    </w:p>
    <w:p>
      <w:pPr>
        <w:pStyle w:val="Normal"/>
        <w:autoSpaceDE w:val="false"/>
        <w:jc w:val="both"/>
        <w:rPr>
          <w:rFonts w:ascii="Arial" w:hAnsi="Arial" w:cs="Arial"/>
        </w:rPr>
      </w:pPr>
      <w:r>
        <w:rPr>
          <w:rFonts w:cs="Arial" w:ascii="Arial" w:hAnsi="Arial"/>
        </w:rPr>
      </w:r>
    </w:p>
    <w:p>
      <w:pPr>
        <w:pStyle w:val="Normal"/>
        <w:jc w:val="both"/>
        <w:rPr>
          <w:rFonts w:ascii="Arial" w:hAnsi="Arial" w:cs="Arial"/>
          <w:i/>
          <w:i/>
          <w:iCs/>
          <w:u w:val="single"/>
        </w:rPr>
      </w:pPr>
      <w:r>
        <w:rPr>
          <w:rFonts w:cs="Arial" w:ascii="Arial" w:hAnsi="Arial"/>
          <w:i/>
          <w:iCs/>
          <w:u w:val="single"/>
        </w:rPr>
        <w:t>Global Assets &amp; Services/EE&amp;CC/EGEP (Ware)</w:t>
      </w:r>
    </w:p>
    <w:p>
      <w:pPr>
        <w:pStyle w:val="Normal"/>
        <w:jc w:val="both"/>
        <w:rPr>
          <w:rFonts w:ascii="Arial" w:hAnsi="Arial" w:cs="Arial"/>
        </w:rPr>
      </w:pPr>
      <w:r>
        <w:rPr>
          <w:rFonts w:cs="Arial" w:ascii="Arial" w:hAnsi="Arial"/>
        </w:rPr>
        <w:t>Participated in cumulative build meetings for Elektro, EcoElectrica, Enron India Holdings, and Enron APAChi LLC.</w:t>
      </w:r>
    </w:p>
    <w:p>
      <w:pPr>
        <w:pStyle w:val="Normal"/>
        <w:jc w:val="both"/>
        <w:rPr>
          <w:rFonts w:ascii="Arial" w:hAnsi="Arial" w:cs="Arial"/>
        </w:rPr>
      </w:pPr>
      <w:r>
        <w:rPr>
          <w:rFonts w:cs="Arial" w:ascii="Arial" w:hAnsi="Arial"/>
        </w:rPr>
      </w:r>
    </w:p>
    <w:p>
      <w:pPr>
        <w:pStyle w:val="Normal"/>
        <w:jc w:val="both"/>
        <w:rPr>
          <w:rFonts w:ascii="Arial" w:hAnsi="Arial" w:cs="Arial"/>
          <w:bCs/>
        </w:rPr>
      </w:pPr>
      <w:r>
        <w:rPr>
          <w:rFonts w:cs="Arial" w:ascii="Arial" w:hAnsi="Arial"/>
          <w:bCs/>
        </w:rPr>
        <w:t xml:space="preserve">Submitted revised percentage of completion calculations to AA&amp;Co. in India for purposes of completing LINGTEC’s fiscal year tax return ending March 31, 2000 (LNG &amp; Power-Phase II).  Revisions were necessary due to the contract termination for both projects.  </w:t>
      </w:r>
    </w:p>
    <w:p>
      <w:pPr>
        <w:pStyle w:val="Normal"/>
        <w:jc w:val="both"/>
        <w:rPr>
          <w:rFonts w:ascii="Arial" w:hAnsi="Arial" w:cs="Arial"/>
          <w:bCs/>
        </w:rPr>
      </w:pPr>
      <w:r>
        <w:rPr>
          <w:rFonts w:cs="Arial" w:ascii="Arial" w:hAnsi="Arial"/>
          <w:bCs/>
        </w:rPr>
      </w:r>
    </w:p>
    <w:p>
      <w:pPr>
        <w:pStyle w:val="Normal"/>
        <w:jc w:val="both"/>
        <w:rPr>
          <w:rFonts w:ascii="Arial" w:hAnsi="Arial" w:cs="Arial"/>
        </w:rPr>
      </w:pPr>
      <w:r>
        <w:rPr>
          <w:rFonts w:cs="Arial" w:ascii="Arial" w:hAnsi="Arial"/>
        </w:rPr>
        <w:t xml:space="preserve">London Project Management has agreed to use a consortium contract structure to mitigate Spanish tax on offshore profits (Arcos).  Gathering invoices to file the VAT return for EPCC’s Spanish branch.  </w:t>
      </w:r>
    </w:p>
    <w:p>
      <w:pPr>
        <w:pStyle w:val="Normal"/>
        <w:jc w:val="both"/>
        <w:rPr>
          <w:rFonts w:ascii="Arial" w:hAnsi="Arial" w:cs="Arial"/>
        </w:rPr>
      </w:pPr>
      <w:r>
        <w:rPr>
          <w:rFonts w:cs="Arial" w:ascii="Arial" w:hAnsi="Arial"/>
        </w:rPr>
      </w:r>
    </w:p>
    <w:p>
      <w:pPr>
        <w:pStyle w:val="Normal"/>
        <w:jc w:val="both"/>
        <w:rPr>
          <w:rFonts w:ascii="Arial" w:hAnsi="Arial" w:cs="Arial"/>
          <w:i/>
          <w:i/>
          <w:iCs/>
          <w:u w:val="single"/>
        </w:rPr>
      </w:pPr>
      <w:r>
        <w:rPr>
          <w:rFonts w:cs="Arial" w:ascii="Arial" w:hAnsi="Arial"/>
          <w:i/>
          <w:iCs/>
          <w:u w:val="single"/>
        </w:rPr>
        <w:t>Global Finance/Broadband Services (Locklear)</w:t>
      </w:r>
    </w:p>
    <w:p>
      <w:pPr>
        <w:pStyle w:val="Normal"/>
        <w:autoSpaceDE w:val="false"/>
        <w:jc w:val="both"/>
        <w:rPr>
          <w:rFonts w:ascii="Arial" w:hAnsi="Arial" w:cs="Arial"/>
        </w:rPr>
      </w:pPr>
      <w:r>
        <w:rPr>
          <w:rFonts w:cs="Arial" w:ascii="Arial" w:hAnsi="Arial"/>
        </w:rPr>
        <w:t>Assisted P&amp;S in researching book and tax treatment of transactions related to certain projects completed in 1999 and 2000.</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Continued to work on the 2002 Operating Plan for GF.</w:t>
      </w:r>
    </w:p>
    <w:p>
      <w:pPr>
        <w:pStyle w:val="Normal"/>
        <w:autoSpaceDE w:val="false"/>
        <w:jc w:val="both"/>
        <w:rPr>
          <w:rFonts w:ascii="Arial" w:hAnsi="Arial" w:cs="Arial"/>
        </w:rPr>
      </w:pPr>
      <w:r>
        <w:rPr>
          <w:rFonts w:cs="Arial" w:ascii="Arial" w:hAnsi="Arial"/>
        </w:rPr>
      </w:r>
    </w:p>
    <w:p>
      <w:pPr>
        <w:pStyle w:val="Normal"/>
        <w:autoSpaceDE w:val="false"/>
        <w:jc w:val="both"/>
        <w:rPr>
          <w:rFonts w:ascii="Arial" w:hAnsi="Arial" w:cs="Arial"/>
        </w:rPr>
      </w:pPr>
      <w:r>
        <w:rPr>
          <w:rFonts w:cs="Arial" w:ascii="Arial" w:hAnsi="Arial"/>
        </w:rPr>
        <w:t>Completed work on stock basis of Enron Broadband Services, Inc. and Enron Broadband Investments Corp.</w:t>
      </w:r>
    </w:p>
    <w:p>
      <w:pPr>
        <w:pStyle w:val="Normal"/>
        <w:autoSpaceDE w:val="false"/>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i/>
          <w:iCs/>
          <w:u w:val="single"/>
        </w:rPr>
        <w:t>Corporate/Corporate International (Wilcott)</w:t>
      </w:r>
    </w:p>
    <w:p>
      <w:pPr>
        <w:pStyle w:val="Normal"/>
        <w:jc w:val="both"/>
        <w:rPr>
          <w:rFonts w:ascii="Arial" w:hAnsi="Arial" w:cs="Arial"/>
        </w:rPr>
      </w:pPr>
      <w:r>
        <w:rPr>
          <w:rFonts w:cs="Arial" w:ascii="Arial" w:hAnsi="Arial"/>
        </w:rPr>
        <w:t>Completed final testing of the Adaytum tax model, including the foreign functionality.  Adaytum will be rolled-out upon completion of replication to the business units.  Continued gathering and analyzing information related to the Corporate 2002 Operating Plan.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Continued analysis related to Enron Corp. &amp; Subsidiaries’ 2001 annual effective tax rate (ETR).  Also prepared the ETR entry for September business after which, due to the impact of recognizing $1b of nonrecurring losses in the 3rd quarter, a year-to-date ETR of (6.7)% will be reflected (based on $12m tax benefit and NIBT of $180m).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Attended cumulative build meeting for Enron Corp. (Co 011).  Follow-up meetings will be held approximately every two weeks due to the large number of tax adjustments.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Transportation Services/Energy Services/EREC (Guthrie)</w:t>
      </w:r>
    </w:p>
    <w:p>
      <w:pPr>
        <w:pStyle w:val="Normal"/>
        <w:autoSpaceDE w:val="false"/>
        <w:jc w:val="both"/>
        <w:rPr>
          <w:rFonts w:ascii="Arial" w:hAnsi="Arial" w:cs="Arial"/>
          <w:color w:val="000000"/>
        </w:rPr>
      </w:pPr>
      <w:r>
        <w:rPr>
          <w:rFonts w:cs="Arial" w:ascii="Arial" w:hAnsi="Arial"/>
          <w:color w:val="000000"/>
        </w:rPr>
        <w:t>Continue to work with P&amp;S and MARC to determine the tax impact of FAS 140 transactions for EOTT recapitalization and ServiceCo.  Met with Greek Rice to discuss the tax impact and accounting treatment.</w:t>
      </w:r>
    </w:p>
    <w:p>
      <w:pPr>
        <w:pStyle w:val="Normal"/>
        <w:autoSpaceDE w:val="false"/>
        <w:jc w:val="both"/>
        <w:rPr>
          <w:rFonts w:ascii="Arial" w:hAnsi="Arial" w:cs="Arial"/>
          <w:color w:val="000000"/>
        </w:rPr>
      </w:pPr>
      <w:r>
        <w:rPr>
          <w:rFonts w:cs="Arial" w:ascii="Arial" w:hAnsi="Arial"/>
          <w:color w:val="000000"/>
        </w:rPr>
      </w:r>
    </w:p>
    <w:p>
      <w:pPr>
        <w:pStyle w:val="Normal"/>
        <w:autoSpaceDE w:val="false"/>
        <w:jc w:val="both"/>
        <w:rPr>
          <w:rFonts w:ascii="Arial" w:hAnsi="Arial" w:cs="Arial"/>
          <w:color w:val="000000"/>
        </w:rPr>
      </w:pPr>
      <w:r>
        <w:rPr>
          <w:rFonts w:cs="Arial" w:ascii="Arial" w:hAnsi="Arial"/>
          <w:color w:val="000000"/>
        </w:rPr>
        <w:t xml:space="preserve">Met with the Tax Forum to review various items related to TIS (e.g., Report Master, Source Destination Report, mapping changes, training) and TKS.  </w:t>
      </w:r>
    </w:p>
    <w:p>
      <w:pPr>
        <w:pStyle w:val="Normal"/>
        <w:autoSpaceDE w:val="false"/>
        <w:jc w:val="both"/>
        <w:rPr>
          <w:rFonts w:ascii="Arial" w:hAnsi="Arial" w:cs="Arial"/>
          <w:color w:val="000000"/>
        </w:rPr>
      </w:pPr>
      <w:r>
        <w:rPr>
          <w:rFonts w:cs="Arial" w:ascii="Arial" w:hAnsi="Arial"/>
          <w:color w:val="000000"/>
        </w:rPr>
      </w:r>
    </w:p>
    <w:p>
      <w:pPr>
        <w:pStyle w:val="Normal"/>
        <w:autoSpaceDE w:val="false"/>
        <w:jc w:val="both"/>
        <w:rPr>
          <w:rFonts w:ascii="Arial" w:hAnsi="Arial" w:cs="Arial"/>
          <w:color w:val="000000"/>
        </w:rPr>
      </w:pPr>
      <w:r>
        <w:rPr>
          <w:rFonts w:cs="Arial" w:ascii="Arial" w:hAnsi="Arial"/>
          <w:color w:val="000000"/>
        </w:rPr>
        <w:t>Margolis, Phipps &amp; Wright will submit a bid outlining the costs to complete EREC stock basis analysis, audit-ready workpapers, tax structure analysis, elections, and ELA and SRLY tax issues.</w:t>
      </w:r>
    </w:p>
    <w:p>
      <w:pPr>
        <w:pStyle w:val="Normal"/>
        <w:autoSpaceDE w:val="false"/>
        <w:jc w:val="both"/>
        <w:rPr>
          <w:rFonts w:ascii="Arial" w:hAnsi="Arial" w:cs="Arial"/>
          <w:color w:val="000000"/>
        </w:rPr>
      </w:pPr>
      <w:r>
        <w:rPr>
          <w:rFonts w:cs="Arial" w:ascii="Arial" w:hAnsi="Arial"/>
          <w:color w:val="000000"/>
        </w:rPr>
      </w:r>
    </w:p>
    <w:p>
      <w:pPr>
        <w:pStyle w:val="Normal"/>
        <w:autoSpaceDE w:val="false"/>
        <w:jc w:val="both"/>
        <w:rPr>
          <w:rFonts w:ascii="Arial" w:hAnsi="Arial" w:cs="Arial"/>
          <w:color w:val="000000"/>
        </w:rPr>
      </w:pPr>
      <w:r>
        <w:rPr>
          <w:rFonts w:cs="Arial" w:ascii="Arial" w:hAnsi="Arial"/>
          <w:color w:val="000000"/>
        </w:rPr>
        <w:t xml:space="preserve">Working with P&amp;S, Legal, and Accounting to review the proposed stock sale of Enron Alligator Alley Pipeline Company to ID3 Energy Corp. for $1m.   </w:t>
      </w:r>
    </w:p>
    <w:p>
      <w:pPr>
        <w:pStyle w:val="Normal"/>
        <w:autoSpaceDE w:val="false"/>
        <w:jc w:val="both"/>
        <w:rPr>
          <w:rFonts w:ascii="Arial" w:hAnsi="Arial" w:cs="Arial"/>
          <w:color w:val="000000"/>
        </w:rPr>
      </w:pPr>
      <w:r>
        <w:rPr>
          <w:rFonts w:cs="Arial" w:ascii="Arial" w:hAnsi="Arial"/>
          <w:color w:val="000000"/>
        </w:rPr>
      </w:r>
    </w:p>
    <w:p>
      <w:pPr>
        <w:pStyle w:val="Normal"/>
        <w:autoSpaceDE w:val="false"/>
        <w:jc w:val="both"/>
        <w:rPr>
          <w:rFonts w:ascii="Arial" w:hAnsi="Arial" w:cs="Arial"/>
          <w:color w:val="000000"/>
        </w:rPr>
      </w:pPr>
      <w:r>
        <w:rPr>
          <w:rFonts w:cs="Arial" w:ascii="Arial" w:hAnsi="Arial"/>
          <w:color w:val="000000"/>
        </w:rPr>
        <w:t>Completed review of proposed stock purchase of Liberty Storage Gas Company from HNG Storage Company.  Per Kent Miller, ETS is no longer interested in pursuing this acquisition.</w:t>
      </w:r>
    </w:p>
    <w:p>
      <w:pPr>
        <w:pStyle w:val="Normal"/>
        <w:autoSpaceDE w:val="false"/>
        <w:jc w:val="both"/>
        <w:rPr>
          <w:rFonts w:ascii="Arial" w:hAnsi="Arial" w:cs="Arial"/>
          <w:color w:val="000000"/>
        </w:rPr>
      </w:pPr>
      <w:r>
        <w:rPr>
          <w:rFonts w:cs="Arial" w:ascii="Arial" w:hAnsi="Arial"/>
          <w:color w:val="000000"/>
        </w:rPr>
      </w:r>
    </w:p>
    <w:p>
      <w:pPr>
        <w:pStyle w:val="Normal"/>
        <w:autoSpaceDE w:val="false"/>
        <w:jc w:val="both"/>
        <w:rPr>
          <w:rFonts w:ascii="Arial" w:hAnsi="Arial" w:cs="Arial"/>
          <w:color w:val="000000"/>
        </w:rPr>
      </w:pPr>
      <w:r>
        <w:rPr>
          <w:rFonts w:cs="Arial" w:ascii="Arial" w:hAnsi="Arial"/>
          <w:color w:val="000000"/>
        </w:rPr>
        <w:t xml:space="preserve">Met with Accounting and Rates group to discuss issues (i.e., AFUDC equity, ramp-up accounting, rate issue concerns, etc.) related to Florida Gas Transmission phases IV through VI pipeline extensions. </w:t>
      </w:r>
    </w:p>
    <w:p>
      <w:pPr>
        <w:pStyle w:val="Normal"/>
        <w:autoSpaceDE w:val="false"/>
        <w:jc w:val="both"/>
        <w:rPr>
          <w:rFonts w:ascii="Arial" w:hAnsi="Arial" w:cs="Arial"/>
          <w:color w:val="000000"/>
        </w:rPr>
      </w:pPr>
      <w:r>
        <w:rPr>
          <w:rFonts w:cs="Arial" w:ascii="Arial" w:hAnsi="Arial"/>
          <w:color w:val="000000"/>
        </w:rPr>
      </w:r>
    </w:p>
    <w:p>
      <w:pPr>
        <w:pStyle w:val="Normal"/>
        <w:rPr>
          <w:rFonts w:ascii="Arial" w:hAnsi="Arial" w:cs="Arial"/>
          <w:u w:val="single"/>
        </w:rPr>
      </w:pPr>
      <w:r>
        <w:rPr>
          <w:rFonts w:cs="Arial" w:ascii="Arial" w:hAnsi="Arial"/>
          <w:u w:val="single"/>
        </w:rPr>
        <w:t xml:space="preserve">PGE (MURRAY) </w:t>
      </w:r>
    </w:p>
    <w:p>
      <w:pPr>
        <w:pStyle w:val="Footer"/>
        <w:tabs>
          <w:tab w:val="clear" w:pos="4320"/>
          <w:tab w:val="clear" w:pos="8640"/>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No report this week.</w:t>
      </w:r>
    </w:p>
    <w:p>
      <w:pPr>
        <w:pStyle w:val="Normal"/>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TAX SOLUTIONS TEAM (KOBES)</w:t>
      </w:r>
    </w:p>
    <w:p>
      <w:pPr>
        <w:pStyle w:val="Normal"/>
        <w:rPr>
          <w:rFonts w:ascii="Arial" w:hAnsi="Arial" w:cs="Arial"/>
          <w:u w:val="single"/>
        </w:rPr>
      </w:pPr>
      <w:r>
        <w:rPr>
          <w:rFonts w:cs="Arial" w:ascii="Arial" w:hAnsi="Arial"/>
          <w:u w:val="single"/>
        </w:rPr>
      </w:r>
    </w:p>
    <w:p>
      <w:pPr>
        <w:pStyle w:val="Normal"/>
        <w:jc w:val="both"/>
        <w:rPr/>
      </w:pPr>
      <w:r>
        <w:rPr>
          <w:rFonts w:cs="Arial" w:ascii="Arial" w:hAnsi="Arial"/>
          <w:i/>
          <w:iCs/>
          <w:u w:val="single"/>
        </w:rPr>
        <w:t xml:space="preserve">TKS </w:t>
      </w:r>
      <w:r>
        <w:rPr>
          <w:rFonts w:cs="Arial" w:ascii="Arial" w:hAnsi="Arial"/>
        </w:rPr>
        <w:t>:</w:t>
      </w:r>
    </w:p>
    <w:p>
      <w:pPr>
        <w:pStyle w:val="Normal"/>
        <w:jc w:val="both"/>
        <w:rPr>
          <w:rFonts w:ascii="Arial" w:hAnsi="Arial" w:cs="Arial"/>
        </w:rPr>
      </w:pPr>
      <w:r>
        <w:rPr>
          <w:rFonts w:cs="Arial" w:ascii="Arial" w:hAnsi="Arial"/>
        </w:rPr>
        <w:t>Developed area within TKS to house tax.enron.com private information. This eliminated one password for each user and several administrative tasks.</w:t>
      </w:r>
    </w:p>
    <w:p>
      <w:pPr>
        <w:pStyle w:val="ParagraphHeader"/>
        <w:jc w:val="both"/>
        <w:rPr>
          <w:rFonts w:ascii="Arial" w:hAnsi="Arial" w:cs="Arial"/>
          <w:i/>
          <w:i/>
        </w:rPr>
      </w:pPr>
      <w:r>
        <w:rPr>
          <w:rFonts w:cs="Arial" w:ascii="Arial" w:hAnsi="Arial"/>
          <w:i/>
        </w:rPr>
      </w:r>
    </w:p>
    <w:p>
      <w:pPr>
        <w:pStyle w:val="Normal"/>
        <w:jc w:val="both"/>
        <w:rPr>
          <w:rFonts w:ascii="Arial" w:hAnsi="Arial" w:cs="Arial"/>
        </w:rPr>
      </w:pPr>
      <w:r>
        <w:rPr>
          <w:rFonts w:cs="Arial" w:ascii="Arial" w:hAnsi="Arial"/>
        </w:rPr>
        <w:t>Processed a large number of change password and connectivity issues as a result of the above.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Met with Eli Materum, Sandra Hrna, Jerry T. Moore, and David Eldridge to discuss how Transaction Tax can use TKS. Working up a project plan for their group.</w:t>
      </w:r>
    </w:p>
    <w:p>
      <w:pPr>
        <w:pStyle w:val="Header"/>
        <w:tabs>
          <w:tab w:val="clear" w:pos="4320"/>
          <w:tab w:val="clear" w:pos="8640"/>
        </w:tabs>
        <w:jc w:val="both"/>
        <w:rPr>
          <w:rFonts w:ascii="Arial" w:hAnsi="Arial" w:cs="Arial"/>
        </w:rPr>
      </w:pPr>
      <w:r>
        <w:rPr>
          <w:rFonts w:cs="Arial"/>
        </w:rPr>
      </w:r>
    </w:p>
    <w:p>
      <w:pPr>
        <w:pStyle w:val="Normal"/>
        <w:jc w:val="both"/>
        <w:rPr>
          <w:rFonts w:ascii="Arial" w:hAnsi="Arial" w:cs="Arial"/>
        </w:rPr>
      </w:pPr>
      <w:r>
        <w:rPr>
          <w:rFonts w:cs="Arial" w:ascii="Arial" w:hAnsi="Arial"/>
        </w:rPr>
        <w:t>Loaded all historical TKS documentation into the TKS Books area.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Met with Deborah Heath to discuss creation of a web-based issue tracking system.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Patty Lee, David Eldridge, and Lanette Earnest met to discuss how the MARC and BAR teams will use TKS.  A focus group is being organized to address the process.</w:t>
      </w:r>
    </w:p>
    <w:p>
      <w:pPr>
        <w:pStyle w:val="Normal"/>
        <w:jc w:val="both"/>
        <w:rPr>
          <w:rFonts w:ascii="Arial" w:hAnsi="Arial" w:cs="Arial"/>
          <w:i/>
          <w:i/>
          <w:iCs/>
          <w:u w:val="single"/>
        </w:rPr>
      </w:pPr>
      <w:r>
        <w:rPr>
          <w:rFonts w:cs="Arial" w:ascii="Arial" w:hAnsi="Arial"/>
          <w:i/>
          <w:iCs/>
          <w:u w:val="single"/>
        </w:rPr>
      </w:r>
    </w:p>
    <w:p>
      <w:pPr>
        <w:pStyle w:val="Normal"/>
        <w:jc w:val="both"/>
        <w:rPr>
          <w:rFonts w:ascii="Arial" w:hAnsi="Arial" w:cs="Arial"/>
          <w:i/>
          <w:i/>
          <w:iCs/>
          <w:u w:val="single"/>
        </w:rPr>
      </w:pPr>
      <w:r>
        <w:rPr>
          <w:rFonts w:cs="Arial" w:ascii="Arial" w:hAnsi="Arial"/>
          <w:i/>
          <w:iCs/>
          <w:u w:val="single"/>
        </w:rPr>
        <w:t xml:space="preserve">TIS: </w:t>
      </w:r>
    </w:p>
    <w:p>
      <w:pPr>
        <w:pStyle w:val="Normal"/>
        <w:jc w:val="both"/>
        <w:rPr>
          <w:rFonts w:ascii="Arial" w:hAnsi="Arial" w:cs="Arial"/>
        </w:rPr>
      </w:pPr>
      <w:r>
        <w:rPr>
          <w:rFonts w:cs="Arial" w:ascii="Arial" w:hAnsi="Arial"/>
        </w:rPr>
        <w:t xml:space="preserve">Analyzed variances between taxes reversed in TIS and actual taxes posted for various London entities. Determined that the variance was caused by taxes being posted to inconsistent tax accounts. The London tax group will work with accounting to ensure that the correct tax accounts are used in the future. </w:t>
      </w:r>
    </w:p>
    <w:p>
      <w:pPr>
        <w:pStyle w:val="Normal"/>
        <w:jc w:val="both"/>
        <w:rPr>
          <w:rFonts w:ascii="Arial" w:hAnsi="Arial" w:cs="Arial"/>
        </w:rPr>
      </w:pPr>
      <w:r>
        <w:rPr>
          <w:rFonts w:cs="Arial" w:ascii="Arial" w:hAnsi="Arial"/>
        </w:rPr>
      </w:r>
    </w:p>
    <w:p>
      <w:pPr>
        <w:pStyle w:val="Normal"/>
        <w:jc w:val="both"/>
        <w:rPr/>
      </w:pPr>
      <w:r>
        <w:rPr>
          <w:rFonts w:cs="Arial" w:ascii="Arial" w:hAnsi="Arial"/>
        </w:rPr>
        <w:t>Processed files for September Top close for the tax accrual.</w:t>
      </w:r>
      <w:r>
        <w:rPr/>
        <w:t xml:space="preserve"> </w:t>
      </w:r>
    </w:p>
    <w:p>
      <w:pPr>
        <w:pStyle w:val="ParagraphHeader"/>
        <w:jc w:val="both"/>
        <w:rPr>
          <w:i/>
          <w:i/>
        </w:rPr>
      </w:pPr>
      <w:r>
        <w:rPr>
          <w:i/>
        </w:rPr>
      </w:r>
    </w:p>
    <w:p>
      <w:pPr>
        <w:pStyle w:val="Normal"/>
        <w:jc w:val="both"/>
        <w:rPr>
          <w:rFonts w:ascii="Arial" w:hAnsi="Arial" w:cs="Arial"/>
          <w:i/>
          <w:i/>
          <w:iCs/>
          <w:u w:val="single"/>
        </w:rPr>
      </w:pPr>
      <w:r>
        <w:rPr>
          <w:rFonts w:cs="Arial" w:ascii="Arial" w:hAnsi="Arial"/>
          <w:i/>
          <w:iCs/>
          <w:u w:val="single"/>
        </w:rPr>
        <w:t>Training:</w:t>
      </w:r>
    </w:p>
    <w:p>
      <w:pPr>
        <w:pStyle w:val="Normal"/>
        <w:jc w:val="both"/>
        <w:rPr>
          <w:rFonts w:ascii="Arial" w:hAnsi="Arial" w:cs="Arial"/>
        </w:rPr>
      </w:pPr>
      <w:r>
        <w:rPr>
          <w:rFonts w:cs="Arial" w:ascii="Arial" w:hAnsi="Arial"/>
        </w:rPr>
        <w:t>Continued development of the following training courses:</w:t>
      </w:r>
    </w:p>
    <w:p>
      <w:pPr>
        <w:pStyle w:val="Normal"/>
        <w:numPr>
          <w:ilvl w:val="0"/>
          <w:numId w:val="6"/>
        </w:numPr>
        <w:jc w:val="both"/>
        <w:rPr>
          <w:rFonts w:ascii="Arial" w:hAnsi="Arial" w:cs="Arial"/>
        </w:rPr>
      </w:pPr>
      <w:r>
        <w:rPr>
          <w:rFonts w:cs="Arial" w:ascii="Arial" w:hAnsi="Arial"/>
        </w:rPr>
        <w:t>Monthly Close Process Overview – training scheduled for October 23 &amp; 24.</w:t>
      </w:r>
    </w:p>
    <w:p>
      <w:pPr>
        <w:pStyle w:val="Normal"/>
        <w:numPr>
          <w:ilvl w:val="0"/>
          <w:numId w:val="6"/>
        </w:numPr>
        <w:jc w:val="both"/>
        <w:rPr>
          <w:rFonts w:ascii="Arial" w:hAnsi="Arial" w:cs="Arial"/>
        </w:rPr>
      </w:pPr>
      <w:r>
        <w:rPr>
          <w:rFonts w:cs="Arial" w:ascii="Arial" w:hAnsi="Arial"/>
        </w:rPr>
        <w:t>TIS 101 – Documentation is under review.  This class will cover all of the activities that occur on the 8</w:t>
      </w:r>
      <w:r>
        <w:rPr>
          <w:rFonts w:cs="Arial" w:ascii="Arial" w:hAnsi="Arial"/>
          <w:vertAlign w:val="superscript"/>
        </w:rPr>
        <w:t>th</w:t>
      </w:r>
      <w:r>
        <w:rPr>
          <w:rFonts w:cs="Arial" w:ascii="Arial" w:hAnsi="Arial"/>
        </w:rPr>
        <w:t xml:space="preserve"> workday for general ledger close.</w:t>
      </w:r>
    </w:p>
    <w:p>
      <w:pPr>
        <w:pStyle w:val="Normal"/>
        <w:numPr>
          <w:ilvl w:val="0"/>
          <w:numId w:val="6"/>
        </w:numPr>
        <w:jc w:val="both"/>
        <w:rPr>
          <w:rFonts w:ascii="Arial" w:hAnsi="Arial" w:cs="Arial"/>
        </w:rPr>
      </w:pPr>
      <w:r>
        <w:rPr>
          <w:rFonts w:cs="Arial" w:ascii="Arial" w:hAnsi="Arial"/>
        </w:rPr>
        <w:t>Topside close – Documentation is under development.  This class will cover all of the activities that occur on the 10</w:t>
      </w:r>
      <w:r>
        <w:rPr>
          <w:rFonts w:cs="Arial" w:ascii="Arial" w:hAnsi="Arial"/>
          <w:vertAlign w:val="superscript"/>
        </w:rPr>
        <w:t>th</w:t>
      </w:r>
      <w:r>
        <w:rPr>
          <w:rFonts w:cs="Arial" w:ascii="Arial" w:hAnsi="Arial"/>
        </w:rPr>
        <w:t xml:space="preserve"> and 12</w:t>
      </w:r>
      <w:r>
        <w:rPr>
          <w:rFonts w:cs="Arial" w:ascii="Arial" w:hAnsi="Arial"/>
          <w:vertAlign w:val="superscript"/>
        </w:rPr>
        <w:t>th</w:t>
      </w:r>
      <w:r>
        <w:rPr>
          <w:rFonts w:cs="Arial" w:ascii="Arial" w:hAnsi="Arial"/>
        </w:rPr>
        <w:t xml:space="preserve"> workdays for topside close.</w:t>
      </w:r>
    </w:p>
    <w:p>
      <w:pPr>
        <w:pStyle w:val="Normal"/>
        <w:numPr>
          <w:ilvl w:val="0"/>
          <w:numId w:val="6"/>
        </w:numPr>
        <w:jc w:val="both"/>
        <w:rPr>
          <w:rFonts w:ascii="Arial" w:hAnsi="Arial" w:cs="Arial"/>
        </w:rPr>
      </w:pPr>
      <w:r>
        <w:rPr>
          <w:rFonts w:cs="Arial" w:ascii="Arial" w:hAnsi="Arial"/>
        </w:rPr>
        <w:t>Provision Concepts and Calculation Review – Guidelines are complete.  The purpose of this class is to ensure that all tax analysts and specialists know how to explain the concepts related to the computation of the taxable income and tax expense as reported on the financial statements.  This will include calculations on the TIS management summary, voucher, and subledger.  Specialists in each of the MARC and BAR teams will develop and present the training under the guidance of the TST.</w:t>
      </w:r>
    </w:p>
    <w:p>
      <w:pPr>
        <w:pStyle w:val="ParagraphHeader"/>
        <w:jc w:val="both"/>
        <w:rPr>
          <w:rFonts w:ascii="Arial" w:hAnsi="Arial" w:cs="Arial"/>
        </w:rPr>
      </w:pPr>
      <w:r>
        <w:rPr>
          <w:rFonts w:cs="Arial" w:ascii="Arial" w:hAnsi="Arial"/>
        </w:rPr>
      </w:r>
    </w:p>
    <w:p>
      <w:pPr>
        <w:pStyle w:val="Normal"/>
        <w:jc w:val="both"/>
        <w:rPr/>
      </w:pPr>
      <w:r>
        <w:rPr>
          <w:rFonts w:cs="Arial" w:ascii="Arial" w:hAnsi="Arial"/>
          <w:i/>
          <w:iCs/>
          <w:u w:val="single"/>
        </w:rPr>
        <w:t>Other</w:t>
      </w:r>
      <w:r>
        <w:rPr>
          <w:rFonts w:cs="Arial" w:ascii="Arial" w:hAnsi="Arial"/>
          <w:i/>
        </w:rPr>
        <w:t xml:space="preserve">: </w:t>
      </w:r>
    </w:p>
    <w:p>
      <w:pPr>
        <w:pStyle w:val="Normal"/>
        <w:jc w:val="both"/>
        <w:rPr/>
      </w:pPr>
      <w:r>
        <w:rPr>
          <w:rFonts w:cs="Arial" w:ascii="Arial" w:hAnsi="Arial"/>
          <w:iCs/>
        </w:rPr>
        <w:t>Discussed the tax data retention requirements with the SAP team. Rick Boehm is the ISC project manager for the SAP archiving project, which is expected to begin archiving data in the second quarter of 2001.</w:t>
      </w:r>
      <w:r>
        <w:rPr>
          <w:iCs/>
        </w:rPr>
        <w:t xml:space="preserve"> </w:t>
      </w:r>
    </w:p>
    <w:p>
      <w:pPr>
        <w:pStyle w:val="Normal"/>
        <w:jc w:val="both"/>
        <w:rPr>
          <w:iCs/>
        </w:rPr>
      </w:pPr>
      <w:r>
        <w:rPr>
          <w:iCs/>
        </w:rPr>
      </w:r>
    </w:p>
    <w:p>
      <w:pPr>
        <w:pStyle w:val="Normal"/>
        <w:jc w:val="both"/>
        <w:rPr>
          <w:rFonts w:ascii="Arial" w:hAnsi="Arial" w:cs="Arial"/>
          <w:b/>
          <w:color w:val="000000"/>
          <w:u w:val="single"/>
        </w:rPr>
      </w:pPr>
      <w:r>
        <w:rPr>
          <w:rFonts w:cs="Arial" w:ascii="Arial" w:hAnsi="Arial"/>
          <w:b/>
          <w:color w:val="000000"/>
          <w:u w:val="single"/>
        </w:rPr>
      </w:r>
    </w:p>
    <w:p>
      <w:pPr>
        <w:pStyle w:val="Normal"/>
        <w:jc w:val="both"/>
        <w:rPr>
          <w:rFonts w:ascii="Arial" w:hAnsi="Arial" w:cs="Arial"/>
          <w:vanish/>
          <w:color w:val="FF00FF"/>
        </w:rPr>
      </w:pPr>
      <w:r>
        <w:rPr>
          <w:rFonts w:eastAsia="Arial" w:cs="Arial" w:ascii="Arial" w:hAnsi="Arial"/>
          <w:vanish/>
          <w:color w:val="FF00FF"/>
        </w:rPr>
        <w:t xml:space="preserve"> </w:t>
      </w:r>
      <w:r>
        <w:rPr>
          <w:rFonts w:cs="Arial" w:ascii="Arial" w:hAnsi="Arial"/>
          <w:vanish/>
          <w:color w:val="FF00FF"/>
        </w:rPr>
        <w:t>(Morris Clark)</w:t>
      </w:r>
    </w:p>
    <w:p>
      <w:pPr>
        <w:pStyle w:val="Normal"/>
        <w:jc w:val="both"/>
        <w:rPr>
          <w:rFonts w:ascii="Arial" w:hAnsi="Arial" w:cs="Arial"/>
          <w:vanish/>
          <w:color w:val="FF00FF"/>
        </w:rPr>
      </w:pPr>
      <w:r>
        <w:rPr>
          <w:rFonts w:eastAsia="Arial" w:cs="Arial" w:ascii="Arial" w:hAnsi="Arial"/>
          <w:vanish/>
          <w:color w:val="FF00FF"/>
        </w:rPr>
        <w:t xml:space="preserve"> </w:t>
      </w:r>
      <w:r>
        <w:rPr>
          <w:rFonts w:cs="Arial" w:ascii="Arial" w:hAnsi="Arial"/>
          <w:vanish/>
          <w:color w:val="FF00FF"/>
        </w:rPr>
        <w:t>(Jerry Seade)</w:t>
      </w:r>
    </w:p>
    <w:sectPr>
      <w:headerReference w:type="default" r:id="rId3"/>
      <w:headerReference w:type="first" r:id="rId4"/>
      <w:type w:val="nextPage"/>
      <w:pgSz w:w="12240" w:h="15840"/>
      <w:pgMar w:left="1440" w:right="1440" w:gutter="0" w:header="432" w:top="72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5"/>
      </w:rPr>
    </w:pPr>
    <w:r>
      <w:rPr>
        <w:sz w:val="15"/>
      </w:rPr>
      <w:t>Robert J. Hermann</w:t>
    </w:r>
  </w:p>
  <w:p>
    <w:pPr>
      <w:pStyle w:val="Header"/>
      <w:rPr>
        <w:sz w:val="15"/>
      </w:rPr>
    </w:pPr>
    <w:r>
      <w:rPr>
        <w:sz w:val="15"/>
      </w:rPr>
      <w:t>Weekly Activity Report</w:t>
    </w:r>
  </w:p>
  <w:p>
    <w:pPr>
      <w:pStyle w:val="Header"/>
      <w:rPr>
        <w:sz w:val="15"/>
      </w:rPr>
    </w:pPr>
    <w:r>
      <w:rPr>
        <w:sz w:val="15"/>
      </w:rPr>
      <w:t>Week Ending October 19, 2001</w:t>
    </w:r>
  </w:p>
  <w:p>
    <w:pPr>
      <w:pStyle w:val="Header"/>
      <w:rPr>
        <w:rStyle w:val="PageNumber"/>
        <w:sz w:val="15"/>
      </w:rPr>
    </w:pPr>
    <w:r>
      <w:rPr>
        <w:sz w:val="15"/>
      </w:rPr>
      <w:t xml:space="preserve">Page </w:t>
    </w:r>
    <w:r>
      <w:rPr>
        <w:rStyle w:val="PageNumber"/>
        <w:sz w:val="15"/>
      </w:rPr>
      <w:fldChar w:fldCharType="begin"/>
    </w:r>
    <w:r>
      <w:rPr>
        <w:rStyle w:val="PageNumber"/>
        <w:sz w:val="15"/>
      </w:rPr>
      <w:instrText xml:space="preserve"> PAGE </w:instrText>
    </w:r>
    <w:r>
      <w:rPr>
        <w:rStyle w:val="PageNumber"/>
        <w:sz w:val="15"/>
      </w:rPr>
      <w:fldChar w:fldCharType="separate"/>
    </w:r>
    <w:r>
      <w:rPr>
        <w:rStyle w:val="PageNumber"/>
        <w:sz w:val="15"/>
      </w:rPr>
      <w:t>7</w:t>
    </w:r>
    <w:r>
      <w:rPr>
        <w:rStyle w:val="PageNumber"/>
        <w:sz w:val="15"/>
      </w:rPr>
      <w:fldChar w:fldCharType="end"/>
    </w:r>
  </w:p>
  <w:p>
    <w:pPr>
      <w:pStyle w:val="Header"/>
      <w:rPr>
        <w:rStyle w:val="PageNumber"/>
        <w:sz w:val="15"/>
      </w:rPr>
    </w:pPr>
    <w:r>
      <w:rPr/>
    </w:r>
  </w:p>
  <w:p>
    <w:pPr>
      <w:pStyle w:val="Header"/>
      <w:rPr>
        <w:sz w:val="15"/>
      </w:rPr>
    </w:pPr>
    <w:r>
      <w:rPr>
        <w:sz w:val="15"/>
      </w:rPr>
    </w:r>
  </w:p>
  <w:p>
    <w:pPr>
      <w:pStyle w:val="Header"/>
      <w:rPr>
        <w:sz w:val="15"/>
      </w:rPr>
    </w:pPr>
    <w:r>
      <w:rPr>
        <w:sz w:val="15"/>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shd w:fill="F2F2F2" w:val="clear"/>
      <w:jc w:val="both"/>
      <w:outlineLvl w:val="1"/>
    </w:pPr>
    <w:rPr>
      <w:rFonts w:ascii="Arial" w:hAnsi="Arial" w:cs="Arial"/>
      <w:u w:val="single"/>
    </w:rPr>
  </w:style>
  <w:style w:type="paragraph" w:styleId="Heading3">
    <w:name w:val="heading 3"/>
    <w:basedOn w:val="Normal"/>
    <w:next w:val="Normal"/>
    <w:qFormat/>
    <w:pPr>
      <w:keepNext w:val="true"/>
      <w:numPr>
        <w:ilvl w:val="2"/>
        <w:numId w:val="1"/>
      </w:numPr>
      <w:outlineLvl w:val="2"/>
    </w:pPr>
    <w:rPr>
      <w:sz w:val="18"/>
      <w:u w:val="single"/>
    </w:rPr>
  </w:style>
  <w:style w:type="paragraph" w:styleId="Heading4">
    <w:name w:val="heading 4"/>
    <w:basedOn w:val="Normal"/>
    <w:next w:val="Normal"/>
    <w:qFormat/>
    <w:pPr>
      <w:keepNext w:val="true"/>
      <w:numPr>
        <w:ilvl w:val="3"/>
        <w:numId w:val="1"/>
      </w:numPr>
      <w:jc w:val="both"/>
      <w:outlineLvl w:val="3"/>
    </w:pPr>
    <w:rPr>
      <w:rFonts w:ascii="Arial" w:hAnsi="Arial" w:cs="Arial"/>
      <w:u w:val="single"/>
    </w:rPr>
  </w:style>
  <w:style w:type="paragraph" w:styleId="Heading5">
    <w:name w:val="heading 5"/>
    <w:basedOn w:val="Normal"/>
    <w:next w:val="Normal"/>
    <w:qFormat/>
    <w:pPr>
      <w:keepNext w:val="true"/>
      <w:numPr>
        <w:ilvl w:val="4"/>
        <w:numId w:val="1"/>
      </w:numPr>
      <w:jc w:val="both"/>
      <w:outlineLvl w:val="4"/>
    </w:pPr>
    <w:rPr>
      <w:rFonts w:ascii="Arial" w:hAnsi="Arial" w:cs="Arial"/>
      <w:sz w:val="22"/>
      <w:u w:val="single"/>
    </w:rPr>
  </w:style>
  <w:style w:type="paragraph" w:styleId="Heading6">
    <w:name w:val="heading 6"/>
    <w:basedOn w:val="Normal"/>
    <w:next w:val="Normal"/>
    <w:qFormat/>
    <w:pPr>
      <w:keepNext w:val="true"/>
      <w:keepLines/>
      <w:numPr>
        <w:ilvl w:val="5"/>
        <w:numId w:val="1"/>
      </w:numPr>
      <w:pBdr>
        <w:top w:val="single" w:sz="6" w:space="0" w:color="000000"/>
        <w:left w:val="single" w:sz="6" w:space="4" w:color="000000"/>
        <w:bottom w:val="single" w:sz="6" w:space="1" w:color="000000"/>
        <w:right w:val="single" w:sz="6" w:space="1" w:color="000000"/>
      </w:pBdr>
      <w:shd w:fill="F2F2F2" w:val="clear"/>
      <w:outlineLvl w:val="5"/>
    </w:pPr>
    <w:rPr>
      <w:rFonts w:ascii="Arial" w:hAnsi="Arial" w:cs="Arial"/>
      <w:b/>
      <w:u w:val="single"/>
    </w:rPr>
  </w:style>
  <w:style w:type="paragraph" w:styleId="Heading7">
    <w:name w:val="heading 7"/>
    <w:basedOn w:val="Normal"/>
    <w:next w:val="Normal"/>
    <w:qFormat/>
    <w:pPr>
      <w:keepNext w:val="true"/>
      <w:numPr>
        <w:ilvl w:val="6"/>
        <w:numId w:val="1"/>
      </w:numPr>
      <w:ind w:hanging="0" w:start="4320" w:end="0"/>
      <w:jc w:val="both"/>
      <w:outlineLvl w:val="6"/>
    </w:pPr>
    <w:rPr>
      <w:rFonts w:ascii="Arial" w:hAnsi="Arial" w:cs="Arial"/>
      <w:sz w:val="24"/>
    </w:rPr>
  </w:style>
  <w:style w:type="paragraph" w:styleId="Heading8">
    <w:name w:val="heading 8"/>
    <w:basedOn w:val="Normal"/>
    <w:next w:val="Normal"/>
    <w:qFormat/>
    <w:pPr>
      <w:keepNext w:val="true"/>
      <w:numPr>
        <w:ilvl w:val="7"/>
        <w:numId w:val="1"/>
      </w:numPr>
      <w:spacing w:lineRule="atLeast" w:line="240"/>
      <w:ind w:hanging="0" w:start="0" w:end="1440"/>
      <w:jc w:val="both"/>
      <w:outlineLvl w:val="7"/>
    </w:pPr>
    <w:rPr>
      <w:rFonts w:ascii="Arial" w:hAnsi="Arial" w:cs="Arial"/>
      <w:color w:val="000000"/>
      <w:u w:val="single"/>
    </w:rPr>
  </w:style>
  <w:style w:type="paragraph" w:styleId="Heading9">
    <w:name w:val="heading 9"/>
    <w:basedOn w:val="Normal"/>
    <w:next w:val="Normal"/>
    <w:qFormat/>
    <w:pPr>
      <w:keepNext w:val="true"/>
      <w:numPr>
        <w:ilvl w:val="8"/>
        <w:numId w:val="1"/>
      </w:numPr>
      <w:outlineLvl w:val="8"/>
    </w:pPr>
    <w:rPr>
      <w:rFonts w:ascii="Arial" w:hAnsi="Arial" w:cs="Arial"/>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sz w:val="28"/>
    </w:rPr>
  </w:style>
  <w:style w:type="character" w:styleId="WW8Num18z1">
    <w:name w:val="WW8Num18z1"/>
    <w:qFormat/>
    <w:rPr>
      <w:rFonts w:ascii="Courier New" w:hAnsi="Courier New" w:cs="Courier New"/>
    </w:rPr>
  </w:style>
  <w:style w:type="character" w:styleId="WW8Num18z2">
    <w:name w:val="WW8Num18z2"/>
    <w:qFormat/>
    <w:rPr>
      <w:rFonts w:ascii="Symbol" w:hAnsi="Symbol" w:cs="Symbol"/>
    </w:rPr>
  </w:style>
  <w:style w:type="character" w:styleId="WW8Num18z5">
    <w:name w:val="WW8Num18z5"/>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color w:val="auto"/>
      <w:sz w:val="28"/>
    </w:rPr>
  </w:style>
  <w:style w:type="character" w:styleId="WW8Num37z1">
    <w:name w:val="WW8Num37z1"/>
    <w:qFormat/>
    <w:rPr>
      <w:rFonts w:ascii="Courier New" w:hAnsi="Courier New" w:cs="Courier New"/>
    </w:rPr>
  </w:style>
  <w:style w:type="character" w:styleId="WW8Num37z2">
    <w:name w:val="WW8Num37z2"/>
    <w:qFormat/>
    <w:rPr>
      <w:rFonts w:ascii="Symbol" w:hAnsi="Symbol" w:cs="Symbol"/>
    </w:rPr>
  </w:style>
  <w:style w:type="character" w:styleId="WW8Num37z5">
    <w:name w:val="WW8Num37z5"/>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sz w:val="28"/>
    </w:rPr>
  </w:style>
  <w:style w:type="character" w:styleId="WW8Num43z1">
    <w:name w:val="WW8Num43z1"/>
    <w:qFormat/>
    <w:rPr>
      <w:rFonts w:ascii="Courier New" w:hAnsi="Courier New" w:cs="Courier New"/>
    </w:rPr>
  </w:style>
  <w:style w:type="character" w:styleId="WW8Num43z2">
    <w:name w:val="WW8Num43z2"/>
    <w:qFormat/>
    <w:rPr>
      <w:rFonts w:ascii="Symbol" w:hAnsi="Symbol" w:cs="Symbol"/>
    </w:rPr>
  </w:style>
  <w:style w:type="character" w:styleId="WW8Num43z5">
    <w:name w:val="WW8Num43z5"/>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28"/>
    </w:rPr>
  </w:style>
  <w:style w:type="character" w:styleId="WW8Num47z0">
    <w:name w:val="WW8Num47z0"/>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color w:val="auto"/>
      <w:sz w:val="28"/>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auto"/>
      <w:sz w:val="28"/>
    </w:rPr>
  </w:style>
  <w:style w:type="character" w:styleId="WW8Num52z0">
    <w:name w:val="WW8Num52z0"/>
    <w:qFormat/>
    <w:rPr>
      <w:rFonts w:ascii="Courier New" w:hAnsi="Courier New" w:cs="Courier New"/>
    </w:rPr>
  </w:style>
  <w:style w:type="character" w:styleId="WW8Num52z2">
    <w:name w:val="WW8Num52z2"/>
    <w:qFormat/>
    <w:rPr>
      <w:rFonts w:ascii="Symbol" w:hAnsi="Symbol" w:cs="Symbol"/>
    </w:rPr>
  </w:style>
  <w:style w:type="character" w:styleId="WW8Num52z5">
    <w:name w:val="WW8Num52z5"/>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sz w:val="28"/>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sz w:val="28"/>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color w:val="auto"/>
      <w:sz w:val="28"/>
    </w:rPr>
  </w:style>
  <w:style w:type="character" w:styleId="WW8Num69z0">
    <w:name w:val="WW8Num69z0"/>
    <w:qFormat/>
    <w:rPr>
      <w:rFonts w:ascii="Symbol" w:hAnsi="Symbol" w:cs="Symbol"/>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color w:val="auto"/>
      <w:sz w:val="28"/>
    </w:rPr>
  </w:style>
  <w:style w:type="character" w:styleId="WW8Num72z1">
    <w:name w:val="WW8Num72z1"/>
    <w:qFormat/>
    <w:rPr>
      <w:rFonts w:ascii="Courier New" w:hAnsi="Courier New" w:cs="Courier New"/>
    </w:rPr>
  </w:style>
  <w:style w:type="character" w:styleId="WW8Num72z2">
    <w:name w:val="WW8Num72z2"/>
    <w:qFormat/>
    <w:rPr>
      <w:rFonts w:ascii="Symbol" w:hAnsi="Symbol" w:cs="Symbol"/>
    </w:rPr>
  </w:style>
  <w:style w:type="character" w:styleId="WW8Num72z5">
    <w:name w:val="WW8Num72z5"/>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color w:val="auto"/>
      <w:sz w:val="28"/>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sz w:val="28"/>
    </w:rPr>
  </w:style>
  <w:style w:type="character" w:styleId="WW8Num92z1">
    <w:name w:val="WW8Num92z1"/>
    <w:qFormat/>
    <w:rPr>
      <w:rFonts w:ascii="Courier New" w:hAnsi="Courier New" w:cs="Courier New"/>
    </w:rPr>
  </w:style>
  <w:style w:type="character" w:styleId="WW8Num92z2">
    <w:name w:val="WW8Num92z2"/>
    <w:qFormat/>
    <w:rPr>
      <w:rFonts w:ascii="Symbol" w:hAnsi="Symbol" w:cs="Symbol"/>
    </w:rPr>
  </w:style>
  <w:style w:type="character" w:styleId="WW8Num92z5">
    <w:name w:val="WW8Num92z5"/>
    <w:qFormat/>
    <w:rPr>
      <w:rFonts w:ascii="Wingdings" w:hAnsi="Wingdings" w:cs="Wingdings"/>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color w:val="auto"/>
      <w:sz w:val="28"/>
    </w:rPr>
  </w:style>
  <w:style w:type="character" w:styleId="WW8Num96z0">
    <w:name w:val="WW8Num96z0"/>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color w:val="auto"/>
      <w:sz w:val="28"/>
    </w:rPr>
  </w:style>
  <w:style w:type="character" w:styleId="WW8Num98z1">
    <w:name w:val="WW8Num98z1"/>
    <w:qFormat/>
    <w:rPr>
      <w:rFonts w:ascii="Courier New" w:hAnsi="Courier New" w:cs="Courier New"/>
    </w:rPr>
  </w:style>
  <w:style w:type="character" w:styleId="WW8Num98z2">
    <w:name w:val="WW8Num98z2"/>
    <w:qFormat/>
    <w:rPr>
      <w:rFonts w:ascii="Symbol" w:hAnsi="Symbol" w:cs="Symbol"/>
    </w:rPr>
  </w:style>
  <w:style w:type="character" w:styleId="WW8Num98z5">
    <w:name w:val="WW8Num98z5"/>
    <w:qFormat/>
    <w:rPr>
      <w:rFonts w:ascii="Wingdings" w:hAnsi="Wingdings" w:cs="Wingdings"/>
    </w:rPr>
  </w:style>
  <w:style w:type="character" w:styleId="WW8Num99z0">
    <w:name w:val="WW8Num99z0"/>
    <w:qFormat/>
    <w:rPr>
      <w:rFonts w:ascii="Symbol" w:hAnsi="Symbol" w:cs="Symbol"/>
      <w:color w:val="auto"/>
      <w:sz w:val="28"/>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sz w:val="28"/>
    </w:rPr>
  </w:style>
  <w:style w:type="character" w:styleId="WW8Num105z1">
    <w:name w:val="WW8Num105z1"/>
    <w:qFormat/>
    <w:rPr>
      <w:rFonts w:ascii="Courier New" w:hAnsi="Courier New" w:cs="Courier New"/>
    </w:rPr>
  </w:style>
  <w:style w:type="character" w:styleId="WW8Num105z2">
    <w:name w:val="WW8Num105z2"/>
    <w:qFormat/>
    <w:rPr>
      <w:rFonts w:ascii="Symbol" w:hAnsi="Symbol" w:cs="Symbol"/>
    </w:rPr>
  </w:style>
  <w:style w:type="character" w:styleId="WW8Num105z5">
    <w:name w:val="WW8Num105z5"/>
    <w:qFormat/>
    <w:rPr>
      <w:rFonts w:ascii="Wingdings" w:hAnsi="Wingdings" w:cs="Wingdings"/>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3z1">
    <w:name w:val="WW8Num113z1"/>
    <w:qFormat/>
    <w:rPr>
      <w:rFonts w:ascii="Courier New" w:hAnsi="Courier New" w:cs="Times New Roman"/>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color w:val="auto"/>
      <w:sz w:val="28"/>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color w:val="auto"/>
      <w:sz w:val="28"/>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auto"/>
      <w:sz w:val="28"/>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auto"/>
      <w:sz w:val="28"/>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3z0">
    <w:name w:val="WW8Num133z0"/>
    <w:qFormat/>
    <w:rPr>
      <w:rFonts w:ascii="Symbol" w:hAnsi="Symbol" w:cs="Symbol"/>
      <w:color w:val="auto"/>
      <w:sz w:val="28"/>
    </w:rPr>
  </w:style>
  <w:style w:type="character" w:styleId="WW8Num133z1">
    <w:name w:val="WW8Num133z1"/>
    <w:qFormat/>
    <w:rPr>
      <w:rFonts w:ascii="Courier New" w:hAnsi="Courier New" w:cs="Courier New"/>
    </w:rPr>
  </w:style>
  <w:style w:type="character" w:styleId="WW8Num133z2">
    <w:name w:val="WW8Num133z2"/>
    <w:qFormat/>
    <w:rPr>
      <w:rFonts w:ascii="Symbol" w:hAnsi="Symbol" w:cs="Symbol"/>
    </w:rPr>
  </w:style>
  <w:style w:type="character" w:styleId="WW8Num133z5">
    <w:name w:val="WW8Num133z5"/>
    <w:qFormat/>
    <w:rPr>
      <w:rFonts w:ascii="Wingdings" w:hAnsi="Wingdings" w:cs="Wingdings"/>
    </w:rPr>
  </w:style>
  <w:style w:type="character" w:styleId="WW8Num134z0">
    <w:name w:val="WW8Num134z0"/>
    <w:qFormat/>
    <w:rPr>
      <w:rFonts w:ascii="Symbol" w:hAnsi="Symbol" w:cs="Symbol"/>
      <w:color w:val="auto"/>
      <w:sz w:val="28"/>
    </w:rPr>
  </w:style>
  <w:style w:type="character" w:styleId="WW8Num135z0">
    <w:name w:val="WW8Num135z0"/>
    <w:qFormat/>
    <w:rPr>
      <w:rFonts w:ascii="Symbol" w:hAnsi="Symbol" w:cs="Symbol"/>
      <w:color w:val="auto"/>
      <w:sz w:val="28"/>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28"/>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Symbol" w:hAnsi="Symbol" w:cs="Symbol"/>
      <w:color w:val="auto"/>
      <w:sz w:val="28"/>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Courier New" w:hAnsi="Courier New" w:cs="Courier New"/>
    </w:rPr>
  </w:style>
  <w:style w:type="character" w:styleId="WW8Num147z2">
    <w:name w:val="WW8Num147z2"/>
    <w:qFormat/>
    <w:rPr>
      <w:rFonts w:ascii="Symbol" w:hAnsi="Symbol" w:cs="Symbol"/>
    </w:rPr>
  </w:style>
  <w:style w:type="character" w:styleId="WW8Num147z5">
    <w:name w:val="WW8Num147z5"/>
    <w:qFormat/>
    <w:rPr>
      <w:rFonts w:ascii="Wingdings" w:hAnsi="Wingdings" w:cs="Wingdings"/>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5z0">
    <w:name w:val="WW8Num155z0"/>
    <w:qFormat/>
    <w:rPr>
      <w:rFonts w:ascii="Symbol" w:hAnsi="Symbol" w:cs="Symbol"/>
      <w:color w:val="auto"/>
      <w:sz w:val="28"/>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8z0">
    <w:name w:val="WW8Num158z0"/>
    <w:qFormat/>
    <w:rPr>
      <w:rFonts w:ascii="Symbol" w:hAnsi="Symbol" w:cs="Symbol"/>
      <w:color w:val="auto"/>
      <w:sz w:val="28"/>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Symbol" w:hAnsi="Symbol" w:cs="Symbol"/>
      <w:color w:val="auto"/>
      <w:sz w:val="28"/>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sz w:val="28"/>
    </w:rPr>
  </w:style>
  <w:style w:type="character" w:styleId="WW8Num162z1">
    <w:name w:val="WW8Num162z1"/>
    <w:qFormat/>
    <w:rPr>
      <w:rFonts w:ascii="Courier New" w:hAnsi="Courier New" w:cs="Courier New"/>
    </w:rPr>
  </w:style>
  <w:style w:type="character" w:styleId="WW8Num162z2">
    <w:name w:val="WW8Num162z2"/>
    <w:qFormat/>
    <w:rPr>
      <w:rFonts w:ascii="Symbol" w:hAnsi="Symbol" w:cs="Symbol"/>
    </w:rPr>
  </w:style>
  <w:style w:type="character" w:styleId="WW8Num162z5">
    <w:name w:val="WW8Num162z5"/>
    <w:qFormat/>
    <w:rPr>
      <w:rFonts w:ascii="Wingdings" w:hAnsi="Wingdings" w:cs="Wingdings"/>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color w:val="auto"/>
      <w:sz w:val="28"/>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auto"/>
      <w:sz w:val="28"/>
    </w:rPr>
  </w:style>
  <w:style w:type="character" w:styleId="WW8Num170z0">
    <w:name w:val="WW8Num170z0"/>
    <w:qFormat/>
    <w:rPr>
      <w:rFonts w:ascii="Symbol" w:hAnsi="Symbol" w:cs="Symbol"/>
      <w:color w:val="auto"/>
      <w:sz w:val="28"/>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color w:val="auto"/>
      <w:sz w:val="28"/>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Symbol" w:hAnsi="Symbol" w:cs="Symbol"/>
      <w:color w:val="auto"/>
      <w:sz w:val="28"/>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color w:val="auto"/>
      <w:sz w:val="28"/>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4z3">
    <w:name w:val="WW8Num194z3"/>
    <w:qFormat/>
    <w:rPr>
      <w:rFonts w:ascii="Symbol" w:hAnsi="Symbol" w:cs="Symbol"/>
    </w:rPr>
  </w:style>
  <w:style w:type="character" w:styleId="WW8Num195z0">
    <w:name w:val="WW8Num195z0"/>
    <w:qFormat/>
    <w:rPr>
      <w:rFonts w:ascii="Symbol" w:hAnsi="Symbol" w:cs="Symbol"/>
      <w:color w:val="auto"/>
      <w:sz w:val="28"/>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color w:val="auto"/>
      <w:sz w:val="28"/>
    </w:rPr>
  </w:style>
  <w:style w:type="character" w:styleId="WW8Num198z0">
    <w:name w:val="WW8Num198z0"/>
    <w:qFormat/>
    <w:rPr>
      <w:rFonts w:ascii="Symbol" w:hAnsi="Symbol" w:cs="Symbol"/>
      <w:color w:val="auto"/>
      <w:sz w:val="28"/>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8z3">
    <w:name w:val="WW8Num198z3"/>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color w:val="auto"/>
      <w:sz w:val="28"/>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5">
    <w:name w:val="WW8Num205z5"/>
    <w:qFormat/>
    <w:rPr>
      <w:rFonts w:ascii="Wingdings" w:hAnsi="Wingdings" w:cs="Wingdings"/>
    </w:rPr>
  </w:style>
  <w:style w:type="character" w:styleId="WW8Num206z0">
    <w:name w:val="WW8Num206z0"/>
    <w:qFormat/>
    <w:rPr>
      <w:rFonts w:ascii="Symbol" w:hAnsi="Symbol" w:cs="Symbol"/>
    </w:rPr>
  </w:style>
  <w:style w:type="character" w:styleId="WW8Num207z0">
    <w:name w:val="WW8Num207z0"/>
    <w:qFormat/>
    <w:rPr>
      <w:rFonts w:ascii="Symbol" w:hAnsi="Symbol" w:cs="Symbol"/>
      <w:color w:val="auto"/>
      <w:sz w:val="28"/>
    </w:rPr>
  </w:style>
  <w:style w:type="character" w:styleId="WW8Num208z0">
    <w:name w:val="WW8Num208z0"/>
    <w:qFormat/>
    <w:rPr>
      <w:rFonts w:ascii="Symbol" w:hAnsi="Symbol" w:cs="Symbol"/>
      <w:color w:val="auto"/>
      <w:sz w:val="28"/>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color w:val="auto"/>
      <w:sz w:val="28"/>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color w:val="auto"/>
      <w:sz w:val="28"/>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rFonts w:ascii="Symbol" w:hAnsi="Symbol" w:cs="Symbol"/>
    </w:rPr>
  </w:style>
  <w:style w:type="character" w:styleId="WW8Num228z0">
    <w:name w:val="WW8Num228z0"/>
    <w:qFormat/>
    <w:rPr>
      <w:rFonts w:ascii="Symbol" w:hAnsi="Symbol" w:cs="Symbol"/>
      <w:color w:val="auto"/>
      <w:sz w:val="28"/>
    </w:rPr>
  </w:style>
  <w:style w:type="character" w:styleId="WW8Num229z0">
    <w:name w:val="WW8Num229z0"/>
    <w:qFormat/>
    <w:rPr>
      <w:rFonts w:ascii="Symbol" w:hAnsi="Symbol" w:cs="Symbol"/>
      <w:color w:val="auto"/>
      <w:sz w:val="28"/>
    </w:rPr>
  </w:style>
  <w:style w:type="character" w:styleId="WW8Num229z1">
    <w:name w:val="WW8Num229z1"/>
    <w:qFormat/>
    <w:rPr>
      <w:rFonts w:ascii="Courier New" w:hAnsi="Courier New" w:cs="Courier New"/>
    </w:rPr>
  </w:style>
  <w:style w:type="character" w:styleId="WW8Num229z2">
    <w:name w:val="WW8Num229z2"/>
    <w:qFormat/>
    <w:rPr>
      <w:rFonts w:ascii="Symbol" w:hAnsi="Symbol" w:cs="Symbol"/>
    </w:rPr>
  </w:style>
  <w:style w:type="character" w:styleId="WW8Num229z5">
    <w:name w:val="WW8Num229z5"/>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color w:val="auto"/>
      <w:sz w:val="28"/>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color w:val="auto"/>
      <w:sz w:val="28"/>
    </w:rPr>
  </w:style>
  <w:style w:type="character" w:styleId="WW8Num234z1">
    <w:name w:val="WW8Num234z1"/>
    <w:qFormat/>
    <w:rPr>
      <w:rFonts w:ascii="Courier New" w:hAnsi="Courier New" w:cs="Courier New"/>
    </w:rPr>
  </w:style>
  <w:style w:type="character" w:styleId="WW8Num234z2">
    <w:name w:val="WW8Num234z2"/>
    <w:qFormat/>
    <w:rPr>
      <w:rFonts w:ascii="Symbol" w:hAnsi="Symbol" w:cs="Symbol"/>
    </w:rPr>
  </w:style>
  <w:style w:type="character" w:styleId="WW8Num234z5">
    <w:name w:val="WW8Num234z5"/>
    <w:qFormat/>
    <w:rPr>
      <w:rFonts w:ascii="Wingdings" w:hAnsi="Wingdings" w:cs="Wingdings"/>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color w:val="auto"/>
      <w:sz w:val="28"/>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rPr>
  </w:style>
  <w:style w:type="character" w:styleId="WW8Num242z0">
    <w:name w:val="WW8Num242z0"/>
    <w:qFormat/>
    <w:rPr>
      <w:rFonts w:ascii="Symbol" w:hAnsi="Symbol" w:cs="Symbol"/>
      <w:color w:val="auto"/>
      <w:sz w:val="28"/>
    </w:rPr>
  </w:style>
  <w:style w:type="character" w:styleId="WW8Num243z0">
    <w:name w:val="WW8Num243z0"/>
    <w:qFormat/>
    <w:rPr>
      <w:rFonts w:ascii="Symbol" w:hAnsi="Symbol" w:cs="Symbol"/>
    </w:rPr>
  </w:style>
  <w:style w:type="character" w:styleId="WW8Num244z0">
    <w:name w:val="WW8Num244z0"/>
    <w:qFormat/>
    <w:rPr>
      <w:rFonts w:ascii="Symbol" w:hAnsi="Symbol" w:cs="Symbol"/>
      <w:color w:val="auto"/>
      <w:sz w:val="28"/>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color w:val="auto"/>
      <w:sz w:val="28"/>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color w:val="auto"/>
      <w:sz w:val="28"/>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color w:val="auto"/>
      <w:sz w:val="28"/>
    </w:rPr>
  </w:style>
  <w:style w:type="character" w:styleId="WW8Num257z1">
    <w:name w:val="WW8Num257z1"/>
    <w:qFormat/>
    <w:rPr>
      <w:rFonts w:ascii="Courier New" w:hAnsi="Courier New" w:cs="Courier New"/>
    </w:rPr>
  </w:style>
  <w:style w:type="character" w:styleId="WW8Num257z2">
    <w:name w:val="WW8Num257z2"/>
    <w:qFormat/>
    <w:rPr>
      <w:rFonts w:ascii="Symbol" w:hAnsi="Symbol" w:cs="Symbol"/>
    </w:rPr>
  </w:style>
  <w:style w:type="character" w:styleId="WW8Num257z5">
    <w:name w:val="WW8Num257z5"/>
    <w:qFormat/>
    <w:rPr>
      <w:rFonts w:ascii="Wingdings" w:hAnsi="Wingdings" w:cs="Wingdings"/>
    </w:rPr>
  </w:style>
  <w:style w:type="character" w:styleId="WW8Num258z0">
    <w:name w:val="WW8Num258z0"/>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auto"/>
      <w:sz w:val="28"/>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3z0">
    <w:name w:val="WW8Num263z0"/>
    <w:qFormat/>
    <w:rPr>
      <w:rFonts w:ascii="Symbol" w:hAnsi="Symbol" w:cs="Symbol"/>
      <w:color w:val="auto"/>
      <w:sz w:val="28"/>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3z3">
    <w:name w:val="WW8Num263z3"/>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color w:val="auto"/>
      <w:sz w:val="28"/>
    </w:rPr>
  </w:style>
  <w:style w:type="character" w:styleId="WW8Num266z0">
    <w:name w:val="WW8Num266z0"/>
    <w:qFormat/>
    <w:rPr>
      <w:rFonts w:ascii="Symbol" w:hAnsi="Symbol" w:cs="Symbol"/>
    </w:rPr>
  </w:style>
  <w:style w:type="character" w:styleId="WW8Num267z0">
    <w:name w:val="WW8Num267z0"/>
    <w:qFormat/>
    <w:rPr>
      <w:rFonts w:ascii="Symbol" w:hAnsi="Symbol" w:cs="Symbol"/>
      <w:color w:val="auto"/>
      <w:sz w:val="28"/>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color w:val="auto"/>
      <w:sz w:val="28"/>
    </w:rPr>
  </w:style>
  <w:style w:type="character" w:styleId="WW8Num274z0">
    <w:name w:val="WW8Num274z0"/>
    <w:qFormat/>
    <w:rPr>
      <w:rFonts w:ascii="Symbol" w:hAnsi="Symbol" w:cs="Symbol"/>
      <w:color w:val="auto"/>
      <w:sz w:val="28"/>
    </w:rPr>
  </w:style>
  <w:style w:type="character" w:styleId="WW8Num275z0">
    <w:name w:val="WW8Num275z0"/>
    <w:qFormat/>
    <w:rPr>
      <w:rFonts w:ascii="Symbol" w:hAnsi="Symbol" w:cs="Symbol"/>
      <w:color w:val="auto"/>
      <w:sz w:val="28"/>
    </w:rPr>
  </w:style>
  <w:style w:type="character" w:styleId="WW8Num276z0">
    <w:name w:val="WW8Num276z0"/>
    <w:qFormat/>
    <w:rPr>
      <w:rFonts w:ascii="Symbol" w:hAnsi="Symbol" w:cs="Symbol"/>
      <w:color w:val="auto"/>
      <w:sz w:val="28"/>
    </w:rPr>
  </w:style>
  <w:style w:type="character" w:styleId="WW8Num276z1">
    <w:name w:val="WW8Num276z1"/>
    <w:qFormat/>
    <w:rPr>
      <w:rFonts w:ascii="Courier New" w:hAnsi="Courier New" w:cs="Courier New"/>
    </w:rPr>
  </w:style>
  <w:style w:type="character" w:styleId="WW8Num276z2">
    <w:name w:val="WW8Num276z2"/>
    <w:qFormat/>
    <w:rPr>
      <w:rFonts w:ascii="Symbol" w:hAnsi="Symbol" w:cs="Symbol"/>
    </w:rPr>
  </w:style>
  <w:style w:type="character" w:styleId="WW8Num276z5">
    <w:name w:val="WW8Num276z5"/>
    <w:qFormat/>
    <w:rPr>
      <w:rFonts w:ascii="Wingdings" w:hAnsi="Wingdings" w:cs="Wingdings"/>
    </w:rPr>
  </w:style>
  <w:style w:type="character" w:styleId="WW8Num277z0">
    <w:name w:val="WW8Num277z0"/>
    <w:qFormat/>
    <w:rPr>
      <w:rFonts w:ascii="Symbol" w:hAnsi="Symbol" w:cs="Symbol"/>
      <w:color w:val="auto"/>
      <w:sz w:val="28"/>
    </w:rPr>
  </w:style>
  <w:style w:type="character" w:styleId="WW8Num278z0">
    <w:name w:val="WW8Num278z0"/>
    <w:qFormat/>
    <w:rPr>
      <w:rFonts w:ascii="Symbol" w:hAnsi="Symbol" w:cs="Symbol"/>
    </w:rPr>
  </w:style>
  <w:style w:type="character" w:styleId="WW8Num278z1">
    <w:name w:val="WW8Num278z1"/>
    <w:qFormat/>
    <w:rPr>
      <w:rFonts w:ascii="Courier New" w:hAnsi="Courier New" w:cs="Courier New"/>
    </w:rPr>
  </w:style>
  <w:style w:type="character" w:styleId="WW8Num278z2">
    <w:name w:val="WW8Num278z2"/>
    <w:qFormat/>
    <w:rPr>
      <w:rFonts w:ascii="Wingdings" w:hAnsi="Wingdings" w:cs="Wingdings"/>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color w:val="auto"/>
      <w:sz w:val="28"/>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color w:val="auto"/>
      <w:sz w:val="28"/>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4z0">
    <w:name w:val="WW8Num294z0"/>
    <w:qFormat/>
    <w:rPr>
      <w:rFonts w:ascii="Symbol" w:hAnsi="Symbol" w:cs="Symbol"/>
      <w:color w:val="auto"/>
      <w:sz w:val="28"/>
    </w:rPr>
  </w:style>
  <w:style w:type="character" w:styleId="WW8Num295z0">
    <w:name w:val="WW8Num295z0"/>
    <w:qFormat/>
    <w:rPr>
      <w:rFonts w:ascii="Symbol" w:hAnsi="Symbol" w:cs="Symbol"/>
    </w:rPr>
  </w:style>
  <w:style w:type="character" w:styleId="WW8Num296z0">
    <w:name w:val="WW8Num296z0"/>
    <w:qFormat/>
    <w:rPr>
      <w:rFonts w:ascii="Symbol" w:hAnsi="Symbol" w:cs="Symbol"/>
      <w:color w:val="auto"/>
      <w:sz w:val="28"/>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color w:val="auto"/>
      <w:sz w:val="28"/>
    </w:rPr>
  </w:style>
  <w:style w:type="character" w:styleId="WW8Num300z0">
    <w:name w:val="WW8Num300z0"/>
    <w:qFormat/>
    <w:rPr>
      <w:rFonts w:ascii="Symbol" w:hAnsi="Symbol" w:cs="Symbol"/>
      <w:color w:val="auto"/>
      <w:sz w:val="28"/>
    </w:rPr>
  </w:style>
  <w:style w:type="character" w:styleId="WW8Num300z1">
    <w:name w:val="WW8Num300z1"/>
    <w:qFormat/>
    <w:rPr>
      <w:rFonts w:ascii="Courier New" w:hAnsi="Courier New" w:cs="Courier New"/>
    </w:rPr>
  </w:style>
  <w:style w:type="character" w:styleId="WW8Num300z2">
    <w:name w:val="WW8Num300z2"/>
    <w:qFormat/>
    <w:rPr>
      <w:rFonts w:ascii="Symbol" w:hAnsi="Symbol" w:cs="Symbol"/>
    </w:rPr>
  </w:style>
  <w:style w:type="character" w:styleId="WW8Num300z5">
    <w:name w:val="WW8Num300z5"/>
    <w:qFormat/>
    <w:rPr>
      <w:rFonts w:ascii="Wingdings" w:hAnsi="Wingdings" w:cs="Wingdings"/>
    </w:rPr>
  </w:style>
  <w:style w:type="character" w:styleId="WW8Num301z0">
    <w:name w:val="WW8Num301z0"/>
    <w:qFormat/>
    <w:rPr>
      <w:rFonts w:ascii="Symbol" w:hAnsi="Symbol" w:cs="Symbol"/>
      <w:color w:val="auto"/>
      <w:sz w:val="28"/>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rFonts w:ascii="Symbol" w:hAnsi="Symbol" w:cs="Symbol"/>
    </w:rPr>
  </w:style>
  <w:style w:type="character" w:styleId="WW8Num305z0">
    <w:name w:val="WW8Num305z0"/>
    <w:qFormat/>
    <w:rPr>
      <w:rFonts w:ascii="Symbol" w:hAnsi="Symbol" w:cs="Symbol"/>
      <w:color w:val="auto"/>
      <w:sz w:val="28"/>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Times New Roman"/>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rFonts w:ascii="Symbol" w:hAnsi="Symbol" w:cs="Symbol"/>
      <w:color w:val="auto"/>
      <w:sz w:val="28"/>
    </w:rPr>
  </w:style>
  <w:style w:type="character" w:styleId="WW8Num313z0">
    <w:name w:val="WW8Num313z0"/>
    <w:qFormat/>
    <w:rPr>
      <w:rFonts w:ascii="Symbol" w:hAnsi="Symbol" w:cs="Symbol"/>
    </w:rPr>
  </w:style>
  <w:style w:type="character" w:styleId="WW8Num314z0">
    <w:name w:val="WW8Num314z0"/>
    <w:qFormat/>
    <w:rPr>
      <w:rFonts w:ascii="Symbol" w:hAnsi="Symbol" w:cs="Symbol"/>
      <w:color w:val="auto"/>
      <w:sz w:val="28"/>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8z0">
    <w:name w:val="WW8Num318z0"/>
    <w:qFormat/>
    <w:rPr>
      <w:rFonts w:ascii="Courier New" w:hAnsi="Courier New" w:cs="Courier New"/>
    </w:rPr>
  </w:style>
  <w:style w:type="character" w:styleId="WW8Num318z2">
    <w:name w:val="WW8Num318z2"/>
    <w:qFormat/>
    <w:rPr>
      <w:rFonts w:ascii="Wingdings" w:hAnsi="Wingdings" w:cs="Wingdings"/>
    </w:rPr>
  </w:style>
  <w:style w:type="character" w:styleId="WW8Num318z3">
    <w:name w:val="WW8Num318z3"/>
    <w:qFormat/>
    <w:rPr>
      <w:rFonts w:ascii="Symbol" w:hAnsi="Symbol" w:cs="Symbol"/>
    </w:rPr>
  </w:style>
  <w:style w:type="character" w:styleId="WW8Num319z0">
    <w:name w:val="WW8Num319z0"/>
    <w:qFormat/>
    <w:rPr>
      <w:rFonts w:ascii="Symbol" w:hAnsi="Symbol" w:cs="Symbol"/>
      <w:color w:val="auto"/>
      <w:sz w:val="28"/>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19z3">
    <w:name w:val="WW8Num319z3"/>
    <w:qFormat/>
    <w:rPr>
      <w:rFonts w:ascii="Symbol" w:hAnsi="Symbol" w:cs="Symbol"/>
    </w:rPr>
  </w:style>
  <w:style w:type="character" w:styleId="WW8Num320z0">
    <w:name w:val="WW8Num320z0"/>
    <w:qFormat/>
    <w:rPr>
      <w:rFonts w:ascii="Wingdings" w:hAnsi="Wingdings" w:cs="Wingdings"/>
    </w:rPr>
  </w:style>
  <w:style w:type="character" w:styleId="WW8Num321z0">
    <w:name w:val="WW8Num321z0"/>
    <w:qFormat/>
    <w:rPr>
      <w:rFonts w:ascii="Symbol" w:hAnsi="Symbol" w:cs="Symbol"/>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color w:val="auto"/>
      <w:sz w:val="28"/>
    </w:rPr>
  </w:style>
  <w:style w:type="character" w:styleId="WW8Num325z1">
    <w:name w:val="WW8Num325z1"/>
    <w:qFormat/>
    <w:rPr>
      <w:rFonts w:ascii="Courier New" w:hAnsi="Courier New" w:cs="Courier New"/>
    </w:rPr>
  </w:style>
  <w:style w:type="character" w:styleId="WW8Num325z2">
    <w:name w:val="WW8Num325z2"/>
    <w:qFormat/>
    <w:rPr>
      <w:rFonts w:ascii="Symbol" w:hAnsi="Symbol" w:cs="Symbol"/>
    </w:rPr>
  </w:style>
  <w:style w:type="character" w:styleId="WW8Num325z5">
    <w:name w:val="WW8Num325z5"/>
    <w:qFormat/>
    <w:rPr>
      <w:rFonts w:ascii="Wingdings" w:hAnsi="Wingdings" w:cs="Wingdings"/>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color w:val="auto"/>
      <w:sz w:val="28"/>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color w:val="auto"/>
      <w:sz w:val="28"/>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color w:val="auto"/>
      <w:sz w:val="28"/>
    </w:rPr>
  </w:style>
  <w:style w:type="character" w:styleId="WW8Num345z0">
    <w:name w:val="WW8Num345z0"/>
    <w:qFormat/>
    <w:rPr>
      <w:rFonts w:ascii="Symbol" w:hAnsi="Symbol" w:cs="Symbol"/>
      <w:color w:val="auto"/>
      <w:sz w:val="28"/>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5z3">
    <w:name w:val="WW8Num345z3"/>
    <w:qFormat/>
    <w:rPr>
      <w:rFonts w:ascii="Symbol" w:hAnsi="Symbol" w:cs="Symbol"/>
    </w:rPr>
  </w:style>
  <w:style w:type="character" w:styleId="WW8Num346z0">
    <w:name w:val="WW8Num346z0"/>
    <w:qFormat/>
    <w:rPr>
      <w:rFonts w:ascii="Symbol" w:hAnsi="Symbol" w:cs="Symbol"/>
      <w:color w:val="auto"/>
      <w:sz w:val="28"/>
    </w:rPr>
  </w:style>
  <w:style w:type="character" w:styleId="WW8Num347z0">
    <w:name w:val="WW8Num347z0"/>
    <w:qFormat/>
    <w:rPr>
      <w:rFonts w:ascii="Symbol" w:hAnsi="Symbol" w:cs="Symbol"/>
    </w:rPr>
  </w:style>
  <w:style w:type="character" w:styleId="WW8Num348z0">
    <w:name w:val="WW8Num348z0"/>
    <w:qFormat/>
    <w:rPr>
      <w:rFonts w:ascii="Symbol" w:hAnsi="Symbol" w:cs="Symbol"/>
      <w:color w:val="auto"/>
      <w:sz w:val="28"/>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color w:val="auto"/>
      <w:sz w:val="28"/>
    </w:rPr>
  </w:style>
  <w:style w:type="character" w:styleId="WW8Num351z0">
    <w:name w:val="WW8Num351z0"/>
    <w:qFormat/>
    <w:rPr/>
  </w:style>
  <w:style w:type="character" w:styleId="WW8Num352z0">
    <w:name w:val="WW8Num352z0"/>
    <w:qFormat/>
    <w:rPr>
      <w:rFonts w:ascii="Symbol" w:hAnsi="Symbol" w:cs="Symbol"/>
    </w:rPr>
  </w:style>
  <w:style w:type="character" w:styleId="WW8Num353z0">
    <w:name w:val="WW8Num353z0"/>
    <w:qFormat/>
    <w:rPr>
      <w:rFonts w:ascii="Symbol" w:hAnsi="Symbol" w:cs="Symbol"/>
      <w:color w:val="auto"/>
      <w:sz w:val="28"/>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auto"/>
      <w:sz w:val="28"/>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Wingdings" w:hAnsi="Wingdings" w:cs="Wingdings"/>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color w:val="auto"/>
      <w:sz w:val="28"/>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Wingdings" w:hAnsi="Wingdings" w:cs="Wingdings"/>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color w:val="auto"/>
      <w:sz w:val="28"/>
    </w:rPr>
  </w:style>
  <w:style w:type="character" w:styleId="WW8Num379z0">
    <w:name w:val="WW8Num379z0"/>
    <w:qFormat/>
    <w:rPr>
      <w:rFonts w:ascii="Symbol" w:hAnsi="Symbol" w:cs="Symbol"/>
      <w:color w:val="auto"/>
      <w:sz w:val="28"/>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color w:val="auto"/>
      <w:sz w:val="28"/>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rFonts w:ascii="Symbol" w:hAnsi="Symbol" w:cs="Symbol"/>
    </w:rPr>
  </w:style>
  <w:style w:type="character" w:styleId="WW8Num388z0">
    <w:name w:val="WW8Num388z0"/>
    <w:qFormat/>
    <w:rPr>
      <w:rFonts w:ascii="Wingdings" w:hAnsi="Wingdings" w:cs="Wingdings"/>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color w:val="auto"/>
      <w:sz w:val="28"/>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color w:val="auto"/>
      <w:sz w:val="28"/>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color w:val="auto"/>
      <w:sz w:val="28"/>
    </w:rPr>
  </w:style>
  <w:style w:type="character" w:styleId="WW8Num406z1">
    <w:name w:val="WW8Num406z1"/>
    <w:qFormat/>
    <w:rPr>
      <w:rFonts w:ascii="Courier New" w:hAnsi="Courier New" w:cs="Courier New"/>
    </w:rPr>
  </w:style>
  <w:style w:type="character" w:styleId="WW8Num406z2">
    <w:name w:val="WW8Num406z2"/>
    <w:qFormat/>
    <w:rPr>
      <w:rFonts w:ascii="Symbol" w:hAnsi="Symbol" w:cs="Symbol"/>
    </w:rPr>
  </w:style>
  <w:style w:type="character" w:styleId="WW8Num406z5">
    <w:name w:val="WW8Num406z5"/>
    <w:qFormat/>
    <w:rPr>
      <w:rFonts w:ascii="Wingdings" w:hAnsi="Wingdings" w:cs="Wingdings"/>
    </w:rPr>
  </w:style>
  <w:style w:type="character" w:styleId="WW8Num407z0">
    <w:name w:val="WW8Num407z0"/>
    <w:qFormat/>
    <w:rPr>
      <w:rFonts w:ascii="Wingdings" w:hAnsi="Wingdings" w:cs="Wingdings"/>
    </w:rPr>
  </w:style>
  <w:style w:type="character" w:styleId="WW8Num408z0">
    <w:name w:val="WW8Num408z0"/>
    <w:qFormat/>
    <w:rPr>
      <w:rFonts w:ascii="Symbol" w:hAnsi="Symbol" w:cs="Symbol"/>
      <w:color w:val="auto"/>
      <w:sz w:val="28"/>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rPr>
  </w:style>
  <w:style w:type="character" w:styleId="WW8Num414z0">
    <w:name w:val="WW8Num414z0"/>
    <w:qFormat/>
    <w:rPr>
      <w:rFonts w:ascii="Symbol" w:hAnsi="Symbol" w:cs="Symbol"/>
      <w:color w:val="auto"/>
      <w:sz w:val="28"/>
    </w:rPr>
  </w:style>
  <w:style w:type="character" w:styleId="WW8Num414z1">
    <w:name w:val="WW8Num414z1"/>
    <w:qFormat/>
    <w:rPr>
      <w:rFonts w:ascii="Courier New" w:hAnsi="Courier New" w:cs="Courier New"/>
    </w:rPr>
  </w:style>
  <w:style w:type="character" w:styleId="WW8Num414z2">
    <w:name w:val="WW8Num414z2"/>
    <w:qFormat/>
    <w:rPr>
      <w:rFonts w:ascii="Symbol" w:hAnsi="Symbol" w:cs="Symbol"/>
    </w:rPr>
  </w:style>
  <w:style w:type="character" w:styleId="WW8Num414z5">
    <w:name w:val="WW8Num414z5"/>
    <w:qFormat/>
    <w:rPr>
      <w:rFonts w:ascii="Wingdings" w:hAnsi="Wingdings" w:cs="Wingdings"/>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color w:val="auto"/>
      <w:sz w:val="28"/>
    </w:rPr>
  </w:style>
  <w:style w:type="character" w:styleId="WW8Num430z0">
    <w:name w:val="WW8Num430z0"/>
    <w:qFormat/>
    <w:rPr>
      <w:rFonts w:ascii="Symbol" w:hAnsi="Symbol" w:cs="Symbol"/>
    </w:rPr>
  </w:style>
  <w:style w:type="character" w:styleId="WW8Num431z0">
    <w:name w:val="WW8Num431z0"/>
    <w:qFormat/>
    <w:rPr>
      <w:rFonts w:ascii="Symbol" w:hAnsi="Symbol" w:cs="Symbol"/>
      <w:color w:val="auto"/>
      <w:sz w:val="28"/>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color w:val="auto"/>
      <w:sz w:val="28"/>
    </w:rPr>
  </w:style>
  <w:style w:type="character" w:styleId="WW8Num435z1">
    <w:name w:val="WW8Num435z1"/>
    <w:qFormat/>
    <w:rPr>
      <w:rFonts w:ascii="Courier New" w:hAnsi="Courier New" w:cs="Courier New"/>
    </w:rPr>
  </w:style>
  <w:style w:type="character" w:styleId="WW8Num435z2">
    <w:name w:val="WW8Num435z2"/>
    <w:qFormat/>
    <w:rPr>
      <w:rFonts w:ascii="Symbol" w:hAnsi="Symbol" w:cs="Symbol"/>
    </w:rPr>
  </w:style>
  <w:style w:type="character" w:styleId="WW8Num435z5">
    <w:name w:val="WW8Num435z5"/>
    <w:qFormat/>
    <w:rPr>
      <w:rFonts w:ascii="Wingdings" w:hAnsi="Wingdings" w:cs="Wingdings"/>
    </w:rPr>
  </w:style>
  <w:style w:type="character" w:styleId="WW8Num436z0">
    <w:name w:val="WW8Num436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color w:val="auto"/>
      <w:sz w:val="28"/>
    </w:rPr>
  </w:style>
  <w:style w:type="character" w:styleId="WW8Num441z0">
    <w:name w:val="WW8Num441z0"/>
    <w:qFormat/>
    <w:rPr>
      <w:rFonts w:ascii="Symbol" w:hAnsi="Symbol" w:cs="Symbol"/>
      <w:color w:val="auto"/>
      <w:sz w:val="28"/>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color w:val="auto"/>
      <w:sz w:val="28"/>
    </w:rPr>
  </w:style>
  <w:style w:type="character" w:styleId="WW8Num445z0">
    <w:name w:val="WW8Num445z0"/>
    <w:qFormat/>
    <w:rPr>
      <w:rFonts w:ascii="Symbol" w:hAnsi="Symbol" w:cs="Symbol"/>
      <w:color w:val="auto"/>
      <w:sz w:val="28"/>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color w:val="auto"/>
      <w:sz w:val="28"/>
    </w:rPr>
  </w:style>
  <w:style w:type="character" w:styleId="WW8Num447z0">
    <w:name w:val="WW8Num447z0"/>
    <w:qFormat/>
    <w:rPr>
      <w:rFonts w:ascii="Symbol" w:hAnsi="Symbol" w:cs="Symbol"/>
    </w:rPr>
  </w:style>
  <w:style w:type="character" w:styleId="WW8Num448z0">
    <w:name w:val="WW8Num448z0"/>
    <w:qFormat/>
    <w:rPr>
      <w:rFonts w:ascii="Courier New" w:hAnsi="Courier New" w:cs="Courier New"/>
    </w:rPr>
  </w:style>
  <w:style w:type="character" w:styleId="WW8Num448z2">
    <w:name w:val="WW8Num448z2"/>
    <w:qFormat/>
    <w:rPr>
      <w:rFonts w:ascii="Wingdings" w:hAnsi="Wingdings" w:cs="Wingdings"/>
    </w:rPr>
  </w:style>
  <w:style w:type="character" w:styleId="WW8Num448z3">
    <w:name w:val="WW8Num448z3"/>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St7z0">
    <w:name w:val="WW8NumSt7z0"/>
    <w:qFormat/>
    <w:rPr>
      <w:rFonts w:ascii="Symbol" w:hAnsi="Symbol" w:cs="Symbol"/>
    </w:rPr>
  </w:style>
  <w:style w:type="character" w:styleId="WW8NumSt345z0">
    <w:name w:val="WW8NumSt345z0"/>
    <w:qFormat/>
    <w:rPr>
      <w:rFonts w:ascii="Symbol" w:hAnsi="Symbol" w:cs="Symbol"/>
    </w:rPr>
  </w:style>
  <w:style w:type="character" w:styleId="WW8NumSt418z0">
    <w:name w:val="WW8NumSt418z0"/>
    <w:qFormat/>
    <w:rPr>
      <w:rFonts w:ascii="Symbol" w:hAnsi="Symbol" w:cs="Symbol"/>
    </w:rPr>
  </w:style>
  <w:style w:type="character" w:styleId="WW8NumSt434z0">
    <w:name w:val="WW8NumSt434z0"/>
    <w:qFormat/>
    <w:rPr>
      <w:rFonts w:ascii="Symbol" w:hAnsi="Symbol" w:cs="Symbol"/>
    </w:rPr>
  </w:style>
  <w:style w:type="character" w:styleId="WW8NumSt434z1">
    <w:name w:val="WW8NumSt434z1"/>
    <w:qFormat/>
    <w:rPr>
      <w:rFonts w:ascii="Courier New" w:hAnsi="Courier New" w:cs="Courier New"/>
    </w:rPr>
  </w:style>
  <w:style w:type="character" w:styleId="WW8NumSt434z2">
    <w:name w:val="WW8NumSt43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mailstyle15">
    <w:name w:val="emailstyle15"/>
    <w:basedOn w:val="DefaultParagraphFont"/>
    <w:qFormat/>
    <w:rPr>
      <w:rFonts w:ascii="Arial" w:hAnsi="Arial" w:cs="Arial"/>
      <w:color w:val="000000"/>
      <w:sz w:val="20"/>
    </w:rPr>
  </w:style>
  <w:style w:type="paragraph" w:styleId="Heading">
    <w:name w:val="Heading"/>
    <w:basedOn w:val="Heading1"/>
    <w:next w:val="BodyText"/>
    <w:qFormat/>
    <w:pPr>
      <w:keepNext w:val="false"/>
      <w:numPr>
        <w:ilvl w:val="0"/>
        <w:numId w:val="0"/>
      </w:numPr>
      <w:spacing w:before="0" w:after="0"/>
      <w:outlineLvl w:val="9"/>
    </w:pPr>
    <w:rPr>
      <w:rFonts w:ascii="Times New Roman" w:hAnsi="Times New Roman" w:cs="Times New Roman"/>
      <w:kern w:val="0"/>
      <w:sz w:val="24"/>
    </w:rPr>
  </w:style>
  <w:style w:type="paragraph" w:styleId="BodyText">
    <w:name w:val="Body Text"/>
    <w:basedOn w:val="Normal"/>
    <w:pPr>
      <w:spacing w:before="0" w:after="1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Body">
    <w:name w:val="Body"/>
    <w:basedOn w:val="Normal"/>
    <w:qFormat/>
    <w:pPr>
      <w:ind w:hanging="0" w:start="72" w:end="0"/>
    </w:pPr>
    <w:rPr>
      <w:rFonts w:ascii="Arial" w:hAnsi="Arial" w:cs="Arial"/>
      <w:color w:val="000080"/>
      <w:sz w:val="24"/>
    </w:rPr>
  </w:style>
  <w:style w:type="paragraph" w:styleId="Closed">
    <w:name w:val="Closed"/>
    <w:basedOn w:val="Normal"/>
    <w:qFormat/>
    <w:pPr/>
    <w:rPr/>
  </w:style>
  <w:style w:type="paragraph" w:styleId="BodyText2">
    <w:name w:val="Body Text 2"/>
    <w:basedOn w:val="Normal"/>
    <w:qFormat/>
    <w:pPr>
      <w:jc w:val="both"/>
    </w:pPr>
    <w:rPr>
      <w:rFonts w:ascii="Arial" w:hAnsi="Arial" w:cs="Arial"/>
      <w:sz w:val="24"/>
    </w:rPr>
  </w:style>
  <w:style w:type="paragraph" w:styleId="BodyText3">
    <w:name w:val="Body Text 3"/>
    <w:basedOn w:val="Normal"/>
    <w:qFormat/>
    <w:pPr>
      <w:jc w:val="both"/>
    </w:pPr>
    <w:rPr>
      <w:rFonts w:ascii="Arial" w:hAnsi="Arial" w:cs="Arial"/>
      <w:sz w:val="24"/>
    </w:rPr>
  </w:style>
  <w:style w:type="paragraph" w:styleId="MessageHeader">
    <w:name w:val="Message Header"/>
    <w:basedOn w:val="BodyText"/>
    <w:qFormat/>
    <w:pPr>
      <w:keepLines/>
      <w:spacing w:lineRule="atLeast" w:line="240" w:before="0" w:after="120"/>
      <w:ind w:hanging="1080" w:start="1080" w:end="0"/>
    </w:pPr>
    <w:rPr>
      <w:rFonts w:ascii="Garamond" w:hAnsi="Garamond" w:cs="Garamond"/>
      <w:caps/>
      <w:sz w:val="18"/>
    </w:rPr>
  </w:style>
  <w:style w:type="paragraph" w:styleId="ParagraphHeader">
    <w:name w:val="Paragraph Header"/>
    <w:qFormat/>
    <w:pPr>
      <w:widowControl/>
      <w:bidi w:val="0"/>
      <w:spacing w:lineRule="atLeast" w:line="240"/>
    </w:pPr>
    <w:rPr>
      <w:rFonts w:ascii="Times New Roman" w:hAnsi="Times New Roman" w:eastAsia="Times New Roman" w:cs="Times New Roman"/>
      <w:b/>
      <w:color w:val="000000"/>
      <w:sz w:val="20"/>
      <w:szCs w:val="20"/>
      <w:lang w:val="en-US" w:bidi="ar-SA" w:eastAsia="zh-CN"/>
    </w:rPr>
  </w:style>
  <w:style w:type="paragraph" w:styleId="Date">
    <w:name w:val="Date"/>
    <w:basedOn w:val="Normal"/>
    <w:qFormat/>
    <w:pPr/>
    <w:rPr>
      <w:rFonts w:ascii="Arial" w:hAnsi="Arial" w:cs="Arial"/>
    </w:rPr>
  </w:style>
  <w:style w:type="paragraph" w:styleId="BodyTextIndent">
    <w:name w:val="Body Text Indent"/>
    <w:basedOn w:val="Normal"/>
    <w:pPr>
      <w:spacing w:lineRule="atLeast" w:line="240"/>
      <w:ind w:hanging="0" w:start="720" w:end="0"/>
    </w:pPr>
    <w:rPr>
      <w:color w:val="000000"/>
    </w:rPr>
  </w:style>
  <w:style w:type="paragraph" w:styleId="BodyTextIndent2">
    <w:name w:val="Body Text Indent 2"/>
    <w:basedOn w:val="Normal"/>
    <w:qFormat/>
    <w:pPr>
      <w:ind w:hanging="0" w:start="720" w:end="0"/>
      <w:jc w:val="both"/>
    </w:pPr>
    <w:rPr>
      <w:rFonts w:ascii="Arial" w:hAnsi="Arial" w:cs="Arial"/>
    </w:rPr>
  </w:style>
  <w:style w:type="paragraph" w:styleId="Wklybody">
    <w:name w:val="Wklybody"/>
    <w:basedOn w:val="Normal"/>
    <w:qFormat/>
    <w:pPr/>
    <w:rPr>
      <w:rFonts w:ascii="Arial" w:hAnsi="Arial" w:cs="Arial"/>
      <w:color w:val="000000"/>
      <w:sz w:val="22"/>
    </w:rPr>
  </w:style>
  <w:style w:type="paragraph" w:styleId="BodyTextIndent3">
    <w:name w:val="Body Text Indent 3"/>
    <w:basedOn w:val="Normal"/>
    <w:qFormat/>
    <w:pPr>
      <w:ind w:hanging="0" w:start="720" w:end="0"/>
    </w:pPr>
    <w:rPr>
      <w:rFonts w:ascii="Arial" w:hAnsi="Arial" w:cs="Arial"/>
      <w:sz w:val="22"/>
    </w:rPr>
  </w:style>
  <w:style w:type="paragraph" w:styleId="To">
    <w:name w:val="To"/>
    <w:basedOn w:val="Normal"/>
    <w:qFormat/>
    <w:pPr>
      <w:spacing w:before="60" w:after="60"/>
    </w:pPr>
    <w:rPr/>
  </w:style>
  <w:style w:type="paragraph" w:styleId="ABLOCKPARA">
    <w:name w:val="A BLOCK PARA"/>
    <w:basedOn w:val="Normal"/>
    <w:qFormat/>
    <w:pPr/>
    <w:rPr>
      <w:rFonts w:ascii="Book Antiqua" w:hAnsi="Book Antiqua" w:cs="Book Antiqua"/>
      <w:sz w:val="22"/>
    </w:rPr>
  </w:style>
  <w:style w:type="paragraph" w:styleId="BulletText1">
    <w:name w:val="Bullet Text 1"/>
    <w:basedOn w:val="Normal"/>
    <w:qFormat/>
    <w:pPr>
      <w:numPr>
        <w:ilvl w:val="0"/>
        <w:numId w:val="3"/>
      </w:numPr>
    </w:pPr>
    <w:rPr/>
  </w:style>
  <w:style w:type="paragraph" w:styleId="PAYEE">
    <w:name w:val="PAYEE"/>
    <w:basedOn w:val="Normal"/>
    <w:qFormat/>
    <w:pPr/>
    <w:rPr>
      <w:rFonts w:ascii="Arial" w:hAnsi="Arial" w:cs="Arial"/>
      <w:sz w:val="24"/>
    </w:rPr>
  </w:style>
  <w:style w:type="paragraph" w:styleId="BlockText">
    <w:name w:val="Block Text"/>
    <w:basedOn w:val="Normal"/>
    <w:qFormat/>
    <w:pPr>
      <w:ind w:hanging="0" w:start="900" w:end="900"/>
    </w:pPr>
    <w:rPr>
      <w:rFonts w:ascii="Arial" w:hAnsi="Arial" w:cs="Arial"/>
    </w:rPr>
  </w:style>
  <w:style w:type="paragraph" w:styleId="Subject">
    <w:name w:val="Subject"/>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VECenteredText">
    <w:name w:val="VE Centered Text"/>
    <w:basedOn w:val="Normal"/>
    <w:next w:val="Normal"/>
    <w:qFormat/>
    <w:pPr>
      <w:autoSpaceDE w:val="false"/>
      <w:spacing w:before="0" w:after="240"/>
      <w:jc w:val="center"/>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2001-08-13T12:52:00Z</dcterms:created>
  <dc:creator>bmoody</dc:creator>
  <dc:description/>
  <dc:language>en-CA</dc:language>
  <cp:lastModifiedBy>Bobbie Moody</cp:lastModifiedBy>
  <cp:lastPrinted>2001-10-22T11:00:00Z</cp:lastPrinted>
  <dcterms:modified xsi:type="dcterms:W3CDTF">2001-10-22T13:33:00Z</dcterms:modified>
  <cp:revision>120</cp:revision>
  <dc:subject/>
  <dc:title> </dc:title>
</cp:coreProperties>
</file>