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header30.xml" ContentType="application/vnd.openxmlformats-officedocument.wordprocessingml.header+xml"/>
  <Override PartName="/word/footer3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35.xml" ContentType="application/vnd.openxmlformats-officedocument.wordprocessingml.footer+xml"/>
  <Override PartName="/word/header35.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oter36.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SCHEDULE 5.01</w:t>
      </w:r>
    </w:p>
    <w:p>
      <w:pPr>
        <w:pStyle w:val="Normal"/>
        <w:jc w:val="center"/>
        <w:rPr>
          <w:b/>
        </w:rPr>
      </w:pPr>
      <w:r>
        <w:rPr>
          <w:b/>
        </w:rPr>
      </w:r>
    </w:p>
    <w:p>
      <w:pPr>
        <w:pStyle w:val="Normal"/>
        <w:jc w:val="center"/>
        <w:rPr>
          <w:b/>
        </w:rPr>
      </w:pPr>
      <w:r>
        <w:rPr>
          <w:b/>
        </w:rPr>
        <w:t>ORGANIZATION; SUBSIDIARIES</w:t>
      </w:r>
    </w:p>
    <w:p>
      <w:pPr>
        <w:pStyle w:val="Normal"/>
        <w:rPr>
          <w:b/>
        </w:rPr>
      </w:pPr>
      <w:r>
        <w:rPr>
          <w:b/>
        </w:rPr>
      </w:r>
    </w:p>
    <w:p>
      <w:pPr>
        <w:pStyle w:val="Normal"/>
        <w:rPr>
          <w:b/>
        </w:rPr>
      </w:pPr>
      <w:r>
        <w:rPr>
          <w:b/>
        </w:rPr>
      </w:r>
    </w:p>
    <w:p>
      <w:pPr>
        <w:pStyle w:val="Normal"/>
        <w:rPr/>
      </w:pPr>
      <w:r>
        <w:rPr>
          <w:b/>
        </w:rPr>
        <w:tab/>
      </w:r>
      <w:r>
        <w:rPr/>
        <w:t>This schedule sets forth with respect to each Business a true and complete list of all Subject Companies and of the Transfer Companies comprising the Subject Company Group, together with (a) a specification of the nature of the legal organization of each such entity, (b) the jurisdiction of incorporation or other organization of each such entity and (c) the magnitude (expressed as a percentage of all outstanding Equity Securities of such legal entity) of the direct or indirect equity investment of the Parent (and, if different, the economic interest) in each such entity.</w:t>
      </w:r>
    </w:p>
    <w:p>
      <w:pPr>
        <w:pStyle w:val="Normal"/>
        <w:rPr/>
      </w:pPr>
      <w:r>
        <w:rPr/>
      </w:r>
    </w:p>
    <w:p>
      <w:pPr>
        <w:pStyle w:val="Normal"/>
        <w:rPr/>
      </w:pPr>
      <w:r>
        <w:rPr>
          <w:u w:val="single"/>
        </w:rPr>
        <w:t>Subject Company</w:t>
      </w:r>
      <w:r>
        <w:rPr/>
        <w:t>:  Enron Global Power &amp; Pipelines L.L.C., a Delaware limited liability company (100%).</w:t>
      </w:r>
    </w:p>
    <w:p>
      <w:pPr>
        <w:pStyle w:val="Normal"/>
        <w:rPr/>
      </w:pPr>
      <w:r>
        <w:rPr/>
      </w:r>
    </w:p>
    <w:p>
      <w:pPr>
        <w:pStyle w:val="Normal"/>
        <w:tabs>
          <w:tab w:val="clear" w:pos="720"/>
          <w:tab w:val="left" w:pos="0" w:leader="none"/>
        </w:tabs>
        <w:rPr/>
      </w:pPr>
      <w:r>
        <w:rPr/>
        <w:tab/>
      </w:r>
      <w:r>
        <w:rPr>
          <w:u w:val="single"/>
        </w:rPr>
        <w:t>Subsidiaries</w:t>
      </w:r>
      <w:r>
        <w:rPr/>
        <w:t xml:space="preserve">:  Enron International Brazil 1997 Ltd., a Cayman Islands </w:t>
      </w:r>
      <w:r>
        <w:rPr>
          <w:b/>
        </w:rPr>
        <w:t>[corporation]</w:t>
      </w:r>
      <w:r>
        <w:rPr/>
        <w:t xml:space="preserve"> </w:t>
        <w:tab/>
        <w:t>(100%).</w:t>
      </w:r>
    </w:p>
    <w:p>
      <w:pPr>
        <w:pStyle w:val="Normal"/>
        <w:rPr/>
      </w:pPr>
      <w:r>
        <w:rPr/>
      </w:r>
    </w:p>
    <w:p>
      <w:pPr>
        <w:pStyle w:val="Normal"/>
        <w:rPr/>
      </w:pPr>
      <w:r>
        <w:rPr/>
        <w:tab/>
        <w:tab/>
        <w:t xml:space="preserve">Emethal-Participacoes Empreedimentos Ltda., a Brazilian </w:t>
      </w:r>
      <w:r>
        <w:rPr>
          <w:b/>
        </w:rPr>
        <w:t>[limitada]</w:t>
      </w:r>
      <w:r>
        <w:rPr/>
        <w:t xml:space="preserve"> (99.97%).</w:t>
      </w:r>
    </w:p>
    <w:p>
      <w:pPr>
        <w:pStyle w:val="Normal"/>
        <w:rPr/>
      </w:pPr>
      <w:r>
        <w:rPr/>
      </w:r>
    </w:p>
    <w:p>
      <w:pPr>
        <w:pStyle w:val="Normal"/>
        <w:rPr/>
      </w:pPr>
      <w:r>
        <w:rPr/>
        <w:tab/>
        <w:tab/>
        <w:tab/>
      </w:r>
      <w:r>
        <w:rPr>
          <w:u w:val="single"/>
        </w:rPr>
        <w:t>Operating Company</w:t>
      </w:r>
      <w:r>
        <w:rPr/>
        <w:t xml:space="preserve">:  CEG/RioGas S.A., a Brazilian </w:t>
      </w:r>
      <w:r>
        <w:rPr>
          <w:b/>
        </w:rPr>
        <w:t>[sociedade anônima]</w:t>
      </w:r>
      <w:r>
        <w:rPr/>
        <w:t xml:space="preserve"> </w:t>
        <w:tab/>
        <w:tab/>
        <w:tab/>
        <w:t>(33.75%).</w:t>
      </w:r>
    </w:p>
    <w:p>
      <w:pPr>
        <w:pStyle w:val="Normal"/>
        <w:rPr/>
      </w:pPr>
      <w:r>
        <w:rPr/>
      </w:r>
    </w:p>
    <w:p>
      <w:pPr>
        <w:pStyle w:val="Normal"/>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Normal"/>
        <w:jc w:val="center"/>
        <w:rPr>
          <w:b/>
        </w:rPr>
      </w:pPr>
      <w:r>
        <w:rPr>
          <w:b/>
        </w:rPr>
        <w:t>SCHEDULE 5.02(c)</w:t>
      </w:r>
    </w:p>
    <w:p>
      <w:pPr>
        <w:pStyle w:val="Normal"/>
        <w:jc w:val="center"/>
        <w:rPr>
          <w:b/>
        </w:rPr>
      </w:pPr>
      <w:r>
        <w:rPr>
          <w:b/>
        </w:rPr>
      </w:r>
    </w:p>
    <w:p>
      <w:pPr>
        <w:pStyle w:val="Normal"/>
        <w:jc w:val="center"/>
        <w:rPr>
          <w:b/>
        </w:rPr>
      </w:pPr>
      <w:r>
        <w:rPr>
          <w:b/>
        </w:rPr>
        <w:t>CONTRACTUAL RESTRICTIONS</w:t>
      </w:r>
    </w:p>
    <w:p>
      <w:pPr>
        <w:pStyle w:val="Normal"/>
        <w:rPr>
          <w:b/>
        </w:rPr>
      </w:pPr>
      <w:r>
        <w:rPr>
          <w:b/>
        </w:rPr>
      </w:r>
    </w:p>
    <w:p>
      <w:pPr>
        <w:pStyle w:val="Normal"/>
        <w:rPr>
          <w:b/>
        </w:rPr>
      </w:pPr>
      <w:r>
        <w:rPr>
          <w:b/>
        </w:rPr>
      </w:r>
    </w:p>
    <w:p>
      <w:pPr>
        <w:pStyle w:val="Normal"/>
        <w:rPr/>
      </w:pPr>
      <w:r>
        <w:rPr/>
        <w:t>None.</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rPr>
          <w:b/>
        </w:rPr>
      </w:pPr>
      <w:r>
        <w:rPr>
          <w:b/>
        </w:rPr>
      </w:r>
    </w:p>
    <w:p>
      <w:pPr>
        <w:pStyle w:val="Normal"/>
        <w:jc w:val="center"/>
        <w:rPr>
          <w:b/>
        </w:rPr>
      </w:pPr>
      <w:r>
        <w:rPr>
          <w:b/>
        </w:rPr>
        <w:t>SCHEDULE 5.03(a)</w:t>
      </w:r>
    </w:p>
    <w:p>
      <w:pPr>
        <w:pStyle w:val="Normal"/>
        <w:numPr>
          <w:ilvl w:val="0"/>
          <w:numId w:val="0"/>
        </w:numPr>
        <w:jc w:val="center"/>
        <w:outlineLvl w:val="0"/>
        <w:rPr>
          <w:b/>
        </w:rPr>
      </w:pPr>
      <w:r>
        <w:rPr>
          <w:b/>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of each Subject Company owned directly or indirectly by the Parent, in each case as of the date of the Agreement.</w:t>
      </w:r>
    </w:p>
    <w:p>
      <w:pPr>
        <w:pStyle w:val="Normal"/>
        <w:rPr/>
      </w:pPr>
      <w:r>
        <w:rPr/>
      </w:r>
    </w:p>
    <w:p>
      <w:pPr>
        <w:pStyle w:val="Normal"/>
        <w:rPr/>
      </w:pPr>
      <w:r>
        <w:rPr/>
      </w:r>
    </w:p>
    <w:tbl>
      <w:tblPr>
        <w:tblW w:w="13500" w:type="dxa"/>
        <w:jc w:val="start"/>
        <w:tblInd w:w="100" w:type="dxa"/>
        <w:tblLayout w:type="fixed"/>
        <w:tblCellMar>
          <w:top w:w="0" w:type="dxa"/>
          <w:start w:w="100" w:type="dxa"/>
          <w:bottom w:w="0" w:type="dxa"/>
          <w:end w:w="100" w:type="dxa"/>
        </w:tblCellMar>
      </w:tblPr>
      <w:tblGrid>
        <w:gridCol w:w="1928"/>
        <w:gridCol w:w="1929"/>
        <w:gridCol w:w="1928"/>
        <w:gridCol w:w="1929"/>
        <w:gridCol w:w="1928"/>
        <w:gridCol w:w="1929"/>
        <w:gridCol w:w="1929"/>
      </w:tblGrid>
      <w:tr>
        <w:trPr>
          <w:tblHeader w:val="true"/>
          <w:trHeight w:val="403" w:hRule="atLeast"/>
        </w:trPr>
        <w:tc>
          <w:tcPr>
            <w:tcW w:w="1928"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b/>
                <w:sz w:val="22"/>
              </w:rPr>
            </w:pPr>
            <w:r>
              <w:rPr>
                <w:b/>
                <w:sz w:val="22"/>
              </w:rPr>
            </w:r>
          </w:p>
          <w:p>
            <w:pPr>
              <w:pStyle w:val="Normal"/>
              <w:jc w:val="start"/>
              <w:rPr>
                <w:sz w:val="22"/>
              </w:rPr>
            </w:pPr>
            <w:r>
              <w:rPr>
                <w:b/>
                <w:sz w:val="22"/>
              </w:rPr>
              <w:t>Business(es)</w:t>
            </w:r>
          </w:p>
        </w:tc>
        <w:tc>
          <w:tcPr>
            <w:tcW w:w="1929"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Name of Subject Company</w:t>
            </w:r>
          </w:p>
        </w:tc>
        <w:tc>
          <w:tcPr>
            <w:tcW w:w="1928"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Description of Equity Securities</w:t>
            </w:r>
          </w:p>
        </w:tc>
        <w:tc>
          <w:tcPr>
            <w:tcW w:w="1929"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Authorized Equity Securities</w:t>
            </w:r>
          </w:p>
        </w:tc>
        <w:tc>
          <w:tcPr>
            <w:tcW w:w="1928"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Outstanding Equity Securities</w:t>
            </w:r>
          </w:p>
        </w:tc>
        <w:tc>
          <w:tcPr>
            <w:tcW w:w="1929"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Equity Securities Owned by Seller</w:t>
            </w:r>
          </w:p>
        </w:tc>
        <w:tc>
          <w:tcPr>
            <w:tcW w:w="1929" w:type="dxa"/>
            <w:tcBorders>
              <w:top w:val="single" w:sz="6" w:space="0" w:color="000000"/>
              <w:start w:val="single" w:sz="6" w:space="0" w:color="000000"/>
              <w:end w:val="single" w:sz="6" w:space="0" w:color="000000"/>
            </w:tcBorders>
          </w:tcPr>
          <w:p>
            <w:pPr>
              <w:pStyle w:val="Normal"/>
              <w:jc w:val="start"/>
              <w:rPr>
                <w:sz w:val="22"/>
              </w:rPr>
            </w:pPr>
            <w:r>
              <w:rPr>
                <w:b/>
                <w:sz w:val="22"/>
              </w:rPr>
              <w:t>% of Subject Company Owned and Transferred by Seller</w:t>
            </w:r>
          </w:p>
        </w:tc>
      </w:tr>
      <w:tr>
        <w:trPr>
          <w:trHeight w:val="210" w:hRule="atLeast"/>
        </w:trPr>
        <w:tc>
          <w:tcPr>
            <w:tcW w:w="1928" w:type="dxa"/>
            <w:tcBorders>
              <w:top w:val="single" w:sz="6" w:space="0" w:color="000000"/>
              <w:start w:val="single" w:sz="6" w:space="0" w:color="000000"/>
              <w:bottom w:val="single" w:sz="4" w:space="0" w:color="000000"/>
            </w:tcBorders>
          </w:tcPr>
          <w:p>
            <w:pPr>
              <w:pStyle w:val="Normal"/>
              <w:snapToGrid w:val="false"/>
              <w:rPr>
                <w:sz w:val="22"/>
              </w:rPr>
            </w:pPr>
            <w:r>
              <w:rPr>
                <w:sz w:val="22"/>
              </w:rPr>
            </w:r>
          </w:p>
        </w:tc>
        <w:tc>
          <w:tcPr>
            <w:tcW w:w="1929" w:type="dxa"/>
            <w:tcBorders>
              <w:top w:val="single" w:sz="6" w:space="0" w:color="000000"/>
              <w:start w:val="single" w:sz="6" w:space="0" w:color="000000"/>
              <w:bottom w:val="single" w:sz="4" w:space="0" w:color="000000"/>
            </w:tcBorders>
          </w:tcPr>
          <w:p>
            <w:pPr>
              <w:pStyle w:val="Normal"/>
              <w:snapToGrid w:val="false"/>
              <w:jc w:val="start"/>
              <w:rPr/>
            </w:pPr>
            <w:r>
              <w:rPr/>
            </w:r>
          </w:p>
        </w:tc>
        <w:tc>
          <w:tcPr>
            <w:tcW w:w="1928" w:type="dxa"/>
            <w:tcBorders>
              <w:top w:val="single" w:sz="6" w:space="0" w:color="000000"/>
              <w:start w:val="single" w:sz="6" w:space="0" w:color="000000"/>
              <w:bottom w:val="single" w:sz="4" w:space="0" w:color="000000"/>
            </w:tcBorders>
          </w:tcPr>
          <w:p>
            <w:pPr>
              <w:pStyle w:val="Normal"/>
              <w:snapToGrid w:val="false"/>
              <w:rPr/>
            </w:pPr>
            <w:r>
              <w:rPr/>
            </w:r>
          </w:p>
        </w:tc>
        <w:tc>
          <w:tcPr>
            <w:tcW w:w="1929" w:type="dxa"/>
            <w:tcBorders>
              <w:top w:val="single" w:sz="6" w:space="0" w:color="000000"/>
              <w:start w:val="single" w:sz="6" w:space="0" w:color="000000"/>
              <w:bottom w:val="single" w:sz="4" w:space="0" w:color="000000"/>
            </w:tcBorders>
          </w:tcPr>
          <w:p>
            <w:pPr>
              <w:pStyle w:val="Normal"/>
              <w:snapToGrid w:val="false"/>
              <w:rPr/>
            </w:pPr>
            <w:r>
              <w:rPr/>
            </w:r>
          </w:p>
        </w:tc>
        <w:tc>
          <w:tcPr>
            <w:tcW w:w="1928" w:type="dxa"/>
            <w:tcBorders>
              <w:top w:val="single" w:sz="6" w:space="0" w:color="000000"/>
              <w:start w:val="single" w:sz="6" w:space="0" w:color="000000"/>
              <w:bottom w:val="single" w:sz="4" w:space="0" w:color="000000"/>
            </w:tcBorders>
          </w:tcPr>
          <w:p>
            <w:pPr>
              <w:pStyle w:val="Normal"/>
              <w:snapToGrid w:val="false"/>
              <w:rPr/>
            </w:pPr>
            <w:r>
              <w:rPr/>
            </w:r>
          </w:p>
        </w:tc>
        <w:tc>
          <w:tcPr>
            <w:tcW w:w="1929" w:type="dxa"/>
            <w:tcBorders>
              <w:top w:val="single" w:sz="6" w:space="0" w:color="000000"/>
              <w:start w:val="single" w:sz="6" w:space="0" w:color="000000"/>
              <w:bottom w:val="single" w:sz="4" w:space="0" w:color="000000"/>
            </w:tcBorders>
          </w:tcPr>
          <w:p>
            <w:pPr>
              <w:pStyle w:val="Normal"/>
              <w:snapToGrid w:val="false"/>
              <w:rPr/>
            </w:pPr>
            <w:r>
              <w:rPr/>
            </w:r>
          </w:p>
        </w:tc>
        <w:tc>
          <w:tcPr>
            <w:tcW w:w="1929"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r>
        <w:trPr>
          <w:trHeight w:val="403" w:hRule="atLeast"/>
        </w:trPr>
        <w:tc>
          <w:tcPr>
            <w:tcW w:w="1928" w:type="dxa"/>
            <w:tcBorders>
              <w:top w:val="single" w:sz="6" w:space="0" w:color="000000"/>
              <w:start w:val="single" w:sz="6" w:space="0" w:color="000000"/>
              <w:bottom w:val="single" w:sz="4" w:space="0" w:color="000000"/>
            </w:tcBorders>
          </w:tcPr>
          <w:p>
            <w:pPr>
              <w:pStyle w:val="Normal"/>
              <w:rPr/>
            </w:pPr>
            <w:r>
              <w:rPr/>
              <w:t>CEG/RioGas</w:t>
            </w:r>
          </w:p>
        </w:tc>
        <w:tc>
          <w:tcPr>
            <w:tcW w:w="1929" w:type="dxa"/>
            <w:tcBorders>
              <w:top w:val="single" w:sz="6" w:space="0" w:color="000000"/>
              <w:start w:val="single" w:sz="6" w:space="0" w:color="000000"/>
              <w:bottom w:val="single" w:sz="4" w:space="0" w:color="000000"/>
            </w:tcBorders>
          </w:tcPr>
          <w:p>
            <w:pPr>
              <w:pStyle w:val="Normal"/>
              <w:jc w:val="start"/>
              <w:rPr/>
            </w:pPr>
            <w:r>
              <w:rPr/>
              <w:t xml:space="preserve">Enron Global Power &amp; Pipelines LLC </w:t>
            </w:r>
          </w:p>
          <w:p>
            <w:pPr>
              <w:pStyle w:val="Normal"/>
              <w:rPr/>
            </w:pPr>
            <w:r>
              <w:rPr/>
              <w:t>(EGPP)</w:t>
            </w:r>
          </w:p>
        </w:tc>
        <w:tc>
          <w:tcPr>
            <w:tcW w:w="1928" w:type="dxa"/>
            <w:tcBorders>
              <w:top w:val="single" w:sz="6" w:space="0" w:color="000000"/>
              <w:start w:val="single" w:sz="6" w:space="0" w:color="000000"/>
              <w:bottom w:val="single" w:sz="4" w:space="0" w:color="000000"/>
            </w:tcBorders>
          </w:tcPr>
          <w:p>
            <w:pPr>
              <w:pStyle w:val="Normal"/>
              <w:snapToGrid w:val="false"/>
              <w:rPr/>
            </w:pPr>
            <w:r>
              <w:rPr/>
            </w:r>
          </w:p>
        </w:tc>
        <w:tc>
          <w:tcPr>
            <w:tcW w:w="1929" w:type="dxa"/>
            <w:tcBorders>
              <w:top w:val="single" w:sz="6" w:space="0" w:color="000000"/>
              <w:start w:val="single" w:sz="6" w:space="0" w:color="000000"/>
              <w:bottom w:val="single" w:sz="4" w:space="0" w:color="000000"/>
            </w:tcBorders>
          </w:tcPr>
          <w:p>
            <w:pPr>
              <w:pStyle w:val="Normal"/>
              <w:snapToGrid w:val="false"/>
              <w:rPr/>
            </w:pPr>
            <w:r>
              <w:rPr/>
            </w:r>
          </w:p>
        </w:tc>
        <w:tc>
          <w:tcPr>
            <w:tcW w:w="1928" w:type="dxa"/>
            <w:tcBorders>
              <w:top w:val="single" w:sz="6" w:space="0" w:color="000000"/>
              <w:start w:val="single" w:sz="6" w:space="0" w:color="000000"/>
              <w:bottom w:val="single" w:sz="4" w:space="0" w:color="000000"/>
            </w:tcBorders>
          </w:tcPr>
          <w:p>
            <w:pPr>
              <w:pStyle w:val="Normal"/>
              <w:snapToGrid w:val="false"/>
              <w:rPr/>
            </w:pPr>
            <w:r>
              <w:rPr/>
            </w:r>
          </w:p>
        </w:tc>
        <w:tc>
          <w:tcPr>
            <w:tcW w:w="1929" w:type="dxa"/>
            <w:tcBorders>
              <w:top w:val="single" w:sz="6" w:space="0" w:color="000000"/>
              <w:start w:val="single" w:sz="6" w:space="0" w:color="000000"/>
              <w:bottom w:val="single" w:sz="4" w:space="0" w:color="000000"/>
            </w:tcBorders>
          </w:tcPr>
          <w:p>
            <w:pPr>
              <w:pStyle w:val="Normal"/>
              <w:snapToGrid w:val="false"/>
              <w:rPr/>
            </w:pPr>
            <w:r>
              <w:rPr/>
            </w:r>
          </w:p>
        </w:tc>
        <w:tc>
          <w:tcPr>
            <w:tcW w:w="1929"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bl>
    <w:p>
      <w:pPr>
        <w:sectPr>
          <w:headerReference w:type="default" r:id="rId8"/>
          <w:headerReference w:type="first" r:id="rId9"/>
          <w:footerReference w:type="default" r:id="rId10"/>
          <w:footerReference w:type="first" r:id="rId11"/>
          <w:type w:val="nextPage"/>
          <w:pgSz w:orient="landscape" w:w="15840" w:h="12240"/>
          <w:pgMar w:left="720" w:right="1440" w:gutter="0" w:header="720" w:top="1440" w:footer="720" w:bottom="1440"/>
          <w:pgNumType w:fmt="decimal"/>
          <w:formProt w:val="false"/>
          <w:textDirection w:val="lrTb"/>
          <w:docGrid w:type="default" w:linePitch="360" w:charSpace="0"/>
        </w:sectPr>
        <w:pStyle w:val="Normal"/>
        <w:rPr/>
      </w:pPr>
      <w:r>
        <w:rPr/>
      </w:r>
    </w:p>
    <w:p>
      <w:pPr>
        <w:pStyle w:val="Normal"/>
        <w:jc w:val="center"/>
        <w:rPr>
          <w:b/>
        </w:rPr>
      </w:pPr>
      <w:r>
        <w:rPr>
          <w:b/>
        </w:rPr>
        <w:t>SCHEDULE 5.03(c)</w:t>
      </w:r>
    </w:p>
    <w:p>
      <w:pPr>
        <w:pStyle w:val="Normal"/>
        <w:jc w:val="center"/>
        <w:rPr>
          <w:b/>
        </w:rPr>
      </w:pPr>
      <w:r>
        <w:rPr>
          <w:b/>
        </w:rPr>
      </w:r>
    </w:p>
    <w:p>
      <w:pPr>
        <w:pStyle w:val="Normal"/>
        <w:jc w:val="center"/>
        <w:rPr>
          <w:b/>
        </w:rPr>
      </w:pPr>
      <w:r>
        <w:rPr>
          <w:b/>
        </w:rPr>
        <w:t>MATTERS RELATING TO EQUITY SECURITIES OF</w:t>
      </w:r>
    </w:p>
    <w:p>
      <w:pPr>
        <w:pStyle w:val="Normal"/>
        <w:jc w:val="center"/>
        <w:rPr>
          <w:b/>
        </w:rPr>
      </w:pPr>
      <w:r>
        <w:rPr>
          <w:b/>
        </w:rPr>
        <w:t>THE SUBJECT COMPANIES AND THEIR SIGNIFICANT ENTITIES</w:t>
      </w:r>
    </w:p>
    <w:p>
      <w:pPr>
        <w:pStyle w:val="Normal"/>
        <w:rPr>
          <w:b/>
        </w:rPr>
      </w:pPr>
      <w:r>
        <w:rPr>
          <w:b/>
        </w:rPr>
      </w:r>
    </w:p>
    <w:p>
      <w:pPr>
        <w:pStyle w:val="Normal"/>
        <w:rPr/>
      </w:pPr>
      <w:r>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776"/>
          <w:pgNumType w:fmt="decimal"/>
          <w:formProt w:val="false"/>
          <w:textDirection w:val="lrTb"/>
          <w:docGrid w:type="default" w:linePitch="360" w:charSpace="0"/>
        </w:sectPr>
        <w:pStyle w:val="Normal"/>
        <w:rPr/>
      </w:pPr>
      <w:r>
        <w:rPr/>
        <w:t>None.</w:t>
      </w:r>
    </w:p>
    <w:p>
      <w:pPr>
        <w:pStyle w:val="Normal"/>
        <w:jc w:val="center"/>
        <w:rPr>
          <w:b/>
        </w:rPr>
      </w:pPr>
      <w:r>
        <w:rPr>
          <w:b/>
        </w:rPr>
        <w:t>SCHEDULE 5.04(d)</w:t>
      </w:r>
    </w:p>
    <w:p>
      <w:pPr>
        <w:pStyle w:val="Normal"/>
        <w:jc w:val="center"/>
        <w:rPr>
          <w:b/>
        </w:rPr>
      </w:pPr>
      <w:r>
        <w:rPr>
          <w:b/>
        </w:rPr>
      </w:r>
    </w:p>
    <w:p>
      <w:pPr>
        <w:pStyle w:val="Normal"/>
        <w:jc w:val="center"/>
        <w:rPr>
          <w:b/>
        </w:rPr>
      </w:pPr>
      <w:r>
        <w:rPr>
          <w:b/>
        </w:rPr>
        <w:t>INTELLECTUAL PROPERTY</w:t>
      </w:r>
    </w:p>
    <w:p>
      <w:pPr>
        <w:pStyle w:val="Normal"/>
        <w:rPr>
          <w:b/>
        </w:rPr>
      </w:pPr>
      <w:r>
        <w:rPr>
          <w:b/>
        </w:rPr>
      </w:r>
    </w:p>
    <w:p>
      <w:pPr>
        <w:pStyle w:val="Normal"/>
        <w:rPr/>
      </w:pPr>
      <w:r>
        <w:rPr/>
      </w:r>
    </w:p>
    <w:p>
      <w:pPr>
        <w:pStyle w:val="Normal"/>
        <w:rPr>
          <w:b/>
        </w:rPr>
      </w:pPr>
      <w:r>
        <w:rPr>
          <w:b/>
        </w:rPr>
        <w:t>[Company to provide.]</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776"/>
          <w:pgNumType w:fmt="decimal"/>
          <w:formProt w:val="false"/>
          <w:textDirection w:val="lrTb"/>
          <w:docGrid w:type="default" w:linePitch="360" w:charSpace="0"/>
        </w:sectPr>
        <w:pStyle w:val="Normal"/>
        <w:rPr>
          <w:b/>
        </w:rPr>
      </w:pPr>
      <w:r>
        <w:rPr>
          <w:b/>
        </w:rPr>
      </w:r>
    </w:p>
    <w:p>
      <w:pPr>
        <w:pStyle w:val="Normal"/>
        <w:jc w:val="center"/>
        <w:rPr>
          <w:b/>
        </w:rPr>
      </w:pPr>
      <w:r>
        <w:rPr>
          <w:b/>
        </w:rPr>
        <w:t>SCHEDULE 5.06(a)</w:t>
      </w:r>
    </w:p>
    <w:p>
      <w:pPr>
        <w:pStyle w:val="Normal"/>
        <w:jc w:val="center"/>
        <w:rPr>
          <w:b/>
        </w:rPr>
      </w:pPr>
      <w:r>
        <w:rPr>
          <w:b/>
        </w:rPr>
      </w:r>
    </w:p>
    <w:p>
      <w:pPr>
        <w:pStyle w:val="Normal"/>
        <w:jc w:val="center"/>
        <w:rPr>
          <w:b/>
        </w:rPr>
      </w:pPr>
      <w:r>
        <w:rPr>
          <w:b/>
        </w:rPr>
        <w:t>AUTHORIZATIONS FOR DEVELOPED BUSINESSES</w:t>
      </w:r>
    </w:p>
    <w:p>
      <w:pPr>
        <w:pStyle w:val="Normal"/>
        <w:rPr>
          <w:b/>
        </w:rPr>
      </w:pPr>
      <w:r>
        <w:rPr>
          <w:b/>
        </w:rPr>
      </w:r>
    </w:p>
    <w:p>
      <w:pPr>
        <w:pStyle w:val="Normal"/>
        <w:rPr>
          <w:b/>
        </w:rPr>
      </w:pPr>
      <w:r>
        <w:rPr>
          <w:b/>
        </w:rPr>
      </w:r>
    </w:p>
    <w:p>
      <w:pPr>
        <w:pStyle w:val="Normal"/>
        <w:rPr/>
      </w:pPr>
      <w:r>
        <w:rPr/>
        <w:tab/>
        <w:t>Authorizations necessary to carry on the Business related thereto as currently conducted that have not been obtained.</w:t>
      </w:r>
    </w:p>
    <w:p>
      <w:pPr>
        <w:pStyle w:val="Normal"/>
        <w:rPr/>
      </w:pPr>
      <w:r>
        <w:rPr/>
      </w:r>
    </w:p>
    <w:p>
      <w:pPr>
        <w:pStyle w:val="Normal"/>
        <w:rPr>
          <w:b/>
        </w:rPr>
      </w:pPr>
      <w:r>
        <w:rPr>
          <w:b/>
        </w:rPr>
        <w:tab/>
        <w:t>[Discuss whether any of the litigation matters listed on Schedule 5.13 should also be included on this schedule.]</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776"/>
          <w:pgNumType w:fmt="decimal"/>
          <w:formProt w:val="false"/>
          <w:textDirection w:val="lrTb"/>
          <w:docGrid w:type="default" w:linePitch="360" w:charSpace="0"/>
        </w:sectPr>
        <w:pStyle w:val="Normal"/>
        <w:rPr>
          <w:b/>
        </w:rPr>
      </w:pPr>
      <w:r>
        <w:rPr>
          <w:b/>
        </w:rPr>
      </w:r>
    </w:p>
    <w:p>
      <w:pPr>
        <w:pStyle w:val="Normal"/>
        <w:jc w:val="center"/>
        <w:rPr>
          <w:b/>
        </w:rPr>
      </w:pPr>
      <w:r>
        <w:rPr>
          <w:b/>
        </w:rPr>
        <w:t>SCHEDULE 5.07(b)</w:t>
      </w:r>
    </w:p>
    <w:p>
      <w:pPr>
        <w:pStyle w:val="Normal"/>
        <w:jc w:val="center"/>
        <w:rPr>
          <w:b/>
        </w:rPr>
      </w:pPr>
      <w:r>
        <w:rPr>
          <w:b/>
        </w:rPr>
      </w:r>
    </w:p>
    <w:p>
      <w:pPr>
        <w:pStyle w:val="Normal"/>
        <w:jc w:val="center"/>
        <w:rPr>
          <w:b/>
        </w:rPr>
      </w:pPr>
      <w:r>
        <w:rPr>
          <w:b/>
        </w:rPr>
        <w:t>REGULATING GOVERNMENTAL AUTHORITY</w:t>
      </w:r>
    </w:p>
    <w:p>
      <w:pPr>
        <w:pStyle w:val="Normal"/>
        <w:rPr>
          <w:b/>
        </w:rPr>
      </w:pPr>
      <w:r>
        <w:rPr>
          <w:b/>
        </w:rPr>
      </w:r>
    </w:p>
    <w:p>
      <w:pPr>
        <w:pStyle w:val="Normal"/>
        <w:rPr>
          <w:b/>
        </w:rPr>
      </w:pPr>
      <w:r>
        <w:rPr>
          <w:b/>
        </w:rPr>
      </w:r>
    </w:p>
    <w:p>
      <w:pPr>
        <w:pStyle w:val="Normal"/>
        <w:rPr/>
      </w:pPr>
      <w:r>
        <w:rPr/>
        <w:t>a.</w:t>
        <w:tab/>
        <w:t>Agencia Nacional de Petroleo ("ANP")</w:t>
      </w:r>
    </w:p>
    <w:p>
      <w:pPr>
        <w:pStyle w:val="Normal"/>
        <w:rPr/>
      </w:pPr>
      <w:r>
        <w:rPr/>
      </w:r>
    </w:p>
    <w:p>
      <w:pPr>
        <w:pStyle w:val="Normal"/>
        <w:rPr/>
      </w:pPr>
      <w:r>
        <w:rPr/>
        <w:t>b.</w:t>
        <w:tab/>
        <w:t>Administrative Counsel of Economic Defense ("CADE")</w:t>
      </w:r>
    </w:p>
    <w:p>
      <w:pPr>
        <w:pStyle w:val="Normal"/>
        <w:rPr/>
      </w:pPr>
      <w:r>
        <w:rPr/>
      </w:r>
    </w:p>
    <w:p>
      <w:pPr>
        <w:pStyle w:val="Normal"/>
        <w:rPr/>
      </w:pPr>
      <w:r>
        <w:rPr/>
        <w:t>c.</w:t>
        <w:tab/>
        <w:t>Agencia Reguladora de Servicios Publicos de Estado do Rio de Janiero ("ASEP")</w:t>
      </w:r>
    </w:p>
    <w:p>
      <w:pPr>
        <w:pStyle w:val="Normal"/>
        <w:rPr/>
      </w:pPr>
      <w:r>
        <w:rPr/>
      </w:r>
    </w:p>
    <w:p>
      <w:pPr>
        <w:pStyle w:val="Normal"/>
        <w:rPr/>
      </w:pPr>
      <w:r>
        <w:rPr/>
        <w:t>d.</w:t>
        <w:tab/>
      </w:r>
      <w:r>
        <w:rPr>
          <w:b/>
        </w:rPr>
        <w:t>[SDE?]</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776"/>
          <w:pgNumType w:fmt="decimal"/>
          <w:formProt w:val="false"/>
          <w:textDirection w:val="lrTb"/>
          <w:docGrid w:type="default" w:linePitch="360" w:charSpace="0"/>
        </w:sectPr>
        <w:pStyle w:val="Normal"/>
        <w:rPr>
          <w:b/>
        </w:rPr>
      </w:pPr>
      <w:r>
        <w:rPr>
          <w:b/>
        </w:rPr>
      </w:r>
    </w:p>
    <w:p>
      <w:pPr>
        <w:pStyle w:val="Normal"/>
        <w:jc w:val="center"/>
        <w:rPr>
          <w:b/>
        </w:rPr>
      </w:pPr>
      <w:r>
        <w:rPr>
          <w:b/>
        </w:rPr>
        <w:t>SCHEDULE 5.08(a)</w:t>
      </w:r>
    </w:p>
    <w:p>
      <w:pPr>
        <w:pStyle w:val="Normal"/>
        <w:jc w:val="center"/>
        <w:rPr>
          <w:b/>
        </w:rPr>
      </w:pPr>
      <w:r>
        <w:rPr>
          <w:b/>
        </w:rPr>
      </w:r>
    </w:p>
    <w:p>
      <w:pPr>
        <w:pStyle w:val="Normal"/>
        <w:jc w:val="center"/>
        <w:rPr>
          <w:b/>
        </w:rPr>
      </w:pPr>
      <w:r>
        <w:rPr>
          <w:b/>
        </w:rPr>
        <w:t>INSURANCE</w:t>
      </w:r>
    </w:p>
    <w:p>
      <w:pPr>
        <w:pStyle w:val="Normal"/>
        <w:rPr>
          <w:b/>
        </w:rPr>
      </w:pPr>
      <w:r>
        <w:rPr>
          <w:b/>
        </w:rPr>
      </w:r>
    </w:p>
    <w:p>
      <w:pPr>
        <w:pStyle w:val="Normal"/>
        <w:rPr>
          <w:b/>
        </w:rPr>
      </w:pPr>
      <w:r>
        <w:rPr>
          <w:b/>
        </w:rPr>
      </w:r>
    </w:p>
    <w:tbl>
      <w:tblPr>
        <w:tblW w:w="14148" w:type="dxa"/>
        <w:jc w:val="start"/>
        <w:tblInd w:w="0" w:type="dxa"/>
        <w:tblLayout w:type="fixed"/>
        <w:tblCellMar>
          <w:top w:w="0" w:type="dxa"/>
          <w:start w:w="108" w:type="dxa"/>
          <w:bottom w:w="0" w:type="dxa"/>
          <w:end w:w="108" w:type="dxa"/>
        </w:tblCellMar>
      </w:tblPr>
      <w:tblGrid>
        <w:gridCol w:w="1368"/>
        <w:gridCol w:w="1260"/>
        <w:gridCol w:w="1242"/>
        <w:gridCol w:w="4860"/>
        <w:gridCol w:w="1440"/>
        <w:gridCol w:w="2088"/>
        <w:gridCol w:w="1890"/>
      </w:tblGrid>
      <w:tr>
        <w:trPr>
          <w:tblHeader w:val="true"/>
          <w:trHeight w:val="177"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Underwriter</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Type</w:t>
            </w:r>
          </w:p>
        </w:tc>
        <w:tc>
          <w:tcPr>
            <w:tcW w:w="1242"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Expiration Date</w:t>
            </w:r>
          </w:p>
        </w:tc>
        <w:tc>
          <w:tcPr>
            <w:tcW w:w="48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Coverage</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Deductible</w:t>
            </w:r>
          </w:p>
        </w:tc>
        <w:tc>
          <w:tcPr>
            <w:tcW w:w="208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Sum Insured (US$)</w:t>
            </w:r>
          </w:p>
        </w:tc>
        <w:tc>
          <w:tcPr>
            <w:tcW w:w="189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Annual Premium</w:t>
            </w:r>
          </w:p>
        </w:tc>
      </w:tr>
      <w:tr>
        <w:trPr>
          <w:trHeight w:val="1215" w:hRule="atLeast"/>
        </w:trPr>
        <w:tc>
          <w:tcPr>
            <w:tcW w:w="1368" w:type="dxa"/>
            <w:tcBorders>
              <w:top w:val="single" w:sz="4" w:space="0" w:color="000000"/>
              <w:start w:val="single" w:sz="4" w:space="0" w:color="000000"/>
              <w:end w:val="single" w:sz="4" w:space="0" w:color="000000"/>
            </w:tcBorders>
          </w:tcPr>
          <w:p>
            <w:pPr>
              <w:pStyle w:val="Normal"/>
              <w:rPr/>
            </w:pPr>
            <w:r>
              <w:rPr/>
              <w:t>Bradesco Seguros</w:t>
            </w:r>
          </w:p>
        </w:tc>
        <w:tc>
          <w:tcPr>
            <w:tcW w:w="1260" w:type="dxa"/>
            <w:tcBorders>
              <w:top w:val="single" w:sz="4" w:space="0" w:color="000000"/>
              <w:start w:val="single" w:sz="4" w:space="0" w:color="000000"/>
              <w:end w:val="single" w:sz="4" w:space="0" w:color="000000"/>
            </w:tcBorders>
          </w:tcPr>
          <w:p>
            <w:pPr>
              <w:pStyle w:val="Normal"/>
              <w:jc w:val="start"/>
              <w:rPr/>
            </w:pPr>
            <w:r>
              <w:rPr/>
              <w:t>General coverage for harm to third parties</w:t>
            </w:r>
          </w:p>
        </w:tc>
        <w:tc>
          <w:tcPr>
            <w:tcW w:w="1242" w:type="dxa"/>
            <w:tcBorders>
              <w:top w:val="single" w:sz="4" w:space="0" w:color="000000"/>
              <w:start w:val="single" w:sz="4" w:space="0" w:color="000000"/>
              <w:end w:val="single" w:sz="4" w:space="0" w:color="000000"/>
            </w:tcBorders>
          </w:tcPr>
          <w:p>
            <w:pPr>
              <w:pStyle w:val="Normal"/>
              <w:rPr/>
            </w:pPr>
            <w:r>
              <w:rPr/>
              <w:t>07/31/00</w:t>
            </w:r>
          </w:p>
        </w:tc>
        <w:tc>
          <w:tcPr>
            <w:tcW w:w="4860" w:type="dxa"/>
            <w:tcBorders>
              <w:top w:val="single" w:sz="4" w:space="0" w:color="000000"/>
              <w:start w:val="single" w:sz="4" w:space="0" w:color="000000"/>
              <w:end w:val="single" w:sz="4" w:space="0" w:color="000000"/>
            </w:tcBorders>
          </w:tcPr>
          <w:p>
            <w:pPr>
              <w:pStyle w:val="Normal"/>
              <w:rPr/>
            </w:pPr>
            <w:r>
              <w:rPr/>
              <w:t xml:space="preserve">Material damages or bodily injury caused to third parties arising from an event related to the "Covered Risks" contained in </w:t>
            </w:r>
            <w:r>
              <w:rPr>
                <w:b/>
              </w:rPr>
              <w:t>[item 5]</w:t>
            </w:r>
            <w:r>
              <w:rPr/>
              <w:t xml:space="preserve"> </w:t>
            </w:r>
            <w:r>
              <w:rPr>
                <w:b/>
              </w:rPr>
              <w:t>[Company to provide clarification of what is meant by "item 5."]</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US$25,000 per event</w:t>
            </w:r>
          </w:p>
        </w:tc>
        <w:tc>
          <w:tcPr>
            <w:tcW w:w="2088" w:type="dxa"/>
            <w:tcBorders>
              <w:top w:val="single" w:sz="4" w:space="0" w:color="000000"/>
              <w:start w:val="single" w:sz="4" w:space="0" w:color="000000"/>
              <w:end w:val="single" w:sz="4" w:space="0" w:color="000000"/>
            </w:tcBorders>
          </w:tcPr>
          <w:p>
            <w:pPr>
              <w:pStyle w:val="Normal"/>
              <w:rPr/>
            </w:pPr>
            <w:r>
              <w:rPr/>
              <w:t>100,000,000</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US$158,594.11</w:t>
            </w:r>
          </w:p>
        </w:tc>
      </w:tr>
      <w:tr>
        <w:trPr>
          <w:trHeight w:val="260" w:hRule="atLeast"/>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rPr/>
            </w:pPr>
            <w:r>
              <w:rPr/>
              <w:t>Bradesco Seguros</w:t>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rPr/>
            </w:pPr>
            <w:r>
              <w:rPr/>
              <w:t>Operation/all risk</w:t>
            </w:r>
          </w:p>
        </w:tc>
        <w:tc>
          <w:tcPr>
            <w:tcW w:w="1242" w:type="dxa"/>
            <w:vMerge w:val="restart"/>
            <w:tcBorders>
              <w:top w:val="single" w:sz="4" w:space="0" w:color="000000"/>
              <w:start w:val="single" w:sz="4" w:space="0" w:color="000000"/>
              <w:bottom w:val="single" w:sz="4" w:space="0" w:color="000000"/>
              <w:end w:val="single" w:sz="4" w:space="0" w:color="000000"/>
            </w:tcBorders>
          </w:tcPr>
          <w:p>
            <w:pPr>
              <w:pStyle w:val="Normal"/>
              <w:rPr/>
            </w:pPr>
            <w:r>
              <w:rPr/>
              <w:t>07/31/00</w:t>
            </w:r>
          </w:p>
        </w:tc>
        <w:tc>
          <w:tcPr>
            <w:tcW w:w="4860" w:type="dxa"/>
            <w:tcBorders>
              <w:top w:val="single" w:sz="4" w:space="0" w:color="000000"/>
              <w:start w:val="single" w:sz="4" w:space="0" w:color="000000"/>
              <w:end w:val="single" w:sz="4" w:space="0" w:color="000000"/>
            </w:tcBorders>
          </w:tcPr>
          <w:p>
            <w:pPr>
              <w:pStyle w:val="Normal"/>
              <w:rPr/>
            </w:pPr>
            <w:r>
              <w:rPr/>
              <w:t>Material damages (all risk), including breakage of machines</w:t>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rPr/>
            </w:pPr>
            <w:r>
              <w:rPr/>
              <w:t>US$25,000 per event</w:t>
            </w:r>
          </w:p>
        </w:tc>
        <w:tc>
          <w:tcPr>
            <w:tcW w:w="2088" w:type="dxa"/>
            <w:tcBorders>
              <w:top w:val="single" w:sz="4" w:space="0" w:color="000000"/>
              <w:start w:val="single" w:sz="4" w:space="0" w:color="000000"/>
              <w:end w:val="single" w:sz="4" w:space="0" w:color="000000"/>
            </w:tcBorders>
          </w:tcPr>
          <w:p>
            <w:pPr>
              <w:pStyle w:val="Normal"/>
              <w:rPr/>
            </w:pPr>
            <w:r>
              <w:rPr/>
              <w:t>Reimbursement Lmit:</w:t>
            </w:r>
          </w:p>
        </w:tc>
        <w:tc>
          <w:tcPr>
            <w:tcW w:w="1890" w:type="dxa"/>
            <w:vMerge w:val="restart"/>
            <w:tcBorders>
              <w:top w:val="single" w:sz="4" w:space="0" w:color="000000"/>
              <w:start w:val="single" w:sz="4" w:space="0" w:color="000000"/>
              <w:bottom w:val="single" w:sz="4" w:space="0" w:color="000000"/>
              <w:end w:val="single" w:sz="4" w:space="0" w:color="000000"/>
            </w:tcBorders>
          </w:tcPr>
          <w:p>
            <w:pPr>
              <w:pStyle w:val="Normal"/>
              <w:rPr/>
            </w:pPr>
            <w:r>
              <w:rPr/>
              <w:t>US$636,001.57</w:t>
            </w:r>
          </w:p>
        </w:tc>
      </w:tr>
      <w:tr>
        <w:trPr>
          <w:trHeight w:val="348"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bottom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bottom w:val="single" w:sz="4" w:space="0" w:color="000000"/>
              <w:end w:val="single" w:sz="4" w:space="0" w:color="000000"/>
            </w:tcBorders>
          </w:tcPr>
          <w:p>
            <w:pPr>
              <w:pStyle w:val="Normal"/>
              <w:rPr/>
            </w:pPr>
            <w:r>
              <w:rPr/>
              <w:t>348,110,699</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70"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jc w:val="start"/>
              <w:rPr/>
            </w:pPr>
            <w:r>
              <w:rPr/>
              <w:t>Sub-limits for material damages:</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42"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rPr/>
            </w:pPr>
            <w:r>
              <w:rPr/>
              <w:t>1) Theft of property</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1) 500,000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52"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4"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rPr/>
            </w:pPr>
            <w:r>
              <w:rPr/>
              <w:t>2) Expenses for removing obstacles</w:t>
            </w:r>
            <w:r>
              <w:rPr>
                <w:rStyle w:val="FootnoteCharacters"/>
                <w:rStyle w:val="FootnoteReference"/>
              </w:rPr>
              <w:footnoteReference w:id="2"/>
            </w:r>
            <w:r>
              <w:rPr/>
              <w:t>, salvage, and putting out fires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2) 10,000,000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61"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15"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rPr/>
            </w:pPr>
            <w:r>
              <w:rPr/>
              <w:t>3) Disloyalty of employees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3) 10,000,000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70"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87"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rPr/>
            </w:pPr>
            <w:r>
              <w:rPr/>
              <w:t>4) Expert's fees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4) 5,000,000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61"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87"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rPr/>
            </w:pPr>
            <w:r>
              <w:rPr/>
              <w:t>5) Theft of valuables (in the interior of an establishment or in transit)</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5) 100,000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79"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bottom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78"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end w:val="single" w:sz="4" w:space="0" w:color="000000"/>
            </w:tcBorders>
          </w:tcPr>
          <w:p>
            <w:pPr>
              <w:pStyle w:val="Normal"/>
              <w:rPr/>
            </w:pPr>
            <w:r>
              <w:rPr/>
              <w:t>6) New acquisitions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rPr/>
            </w:pPr>
            <w:r>
              <w:rPr/>
              <w:t>6) 5,000,000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43"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bottom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bottom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42"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jc w:val="start"/>
              <w:rPr/>
            </w:pPr>
            <w:r>
              <w:rPr/>
              <w:t>7) Extraordinary expenses/Expenses for temporary repairs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7) 1,000,000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33" w:hRule="atLeast"/>
        </w:trPr>
        <w:tc>
          <w:tcPr>
            <w:tcW w:w="13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8) Small engineering projects, expansions, repairs and reformations</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8) 5,000,000</w:t>
            </w:r>
          </w:p>
        </w:tc>
        <w:tc>
          <w:tcPr>
            <w:tcW w:w="189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67"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end w:val="single" w:sz="4" w:space="0" w:color="000000"/>
            </w:tcBorders>
          </w:tcPr>
          <w:p>
            <w:pPr>
              <w:pStyle w:val="Normal"/>
              <w:snapToGrid w:val="false"/>
              <w:rPr/>
            </w:pPr>
            <w:r>
              <w:rPr/>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jc w:val="start"/>
              <w:rPr/>
            </w:pPr>
            <w:r>
              <w:rPr/>
              <w:t>5 days per event</w:t>
            </w:r>
          </w:p>
        </w:tc>
        <w:tc>
          <w:tcPr>
            <w:tcW w:w="2088" w:type="dxa"/>
            <w:tcBorders>
              <w:top w:val="single" w:sz="4" w:space="0" w:color="000000"/>
              <w:start w:val="single" w:sz="4" w:space="0" w:color="000000"/>
              <w:end w:val="single" w:sz="4" w:space="0" w:color="000000"/>
            </w:tcBorders>
          </w:tcPr>
          <w:p>
            <w:pPr>
              <w:pStyle w:val="Normal"/>
              <w:jc w:val="start"/>
              <w:rPr/>
            </w:pPr>
            <w:r>
              <w:rPr/>
              <w:t>Sub-limits for loss of profits, use and occupancy:</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rPr/>
            </w:pPr>
            <w:r>
              <w:rPr/>
              <w:t>9) Additional excess costs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9) 1,000,000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06"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rPr/>
            </w:pPr>
            <w:r>
              <w:rPr/>
              <w:t>10) Suppliers/clients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10) 50,000,000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34"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end w:val="single" w:sz="4" w:space="0" w:color="000000"/>
            </w:tcBorders>
          </w:tcPr>
          <w:p>
            <w:pPr>
              <w:pStyle w:val="Normal"/>
              <w:rPr/>
            </w:pPr>
            <w:r>
              <w:rPr/>
              <w:t>11) Impediments to access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11) 50,000,000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start w:val="single" w:sz="4" w:space="0" w:color="000000"/>
              <w:bottom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bottom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3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4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12) Loss of anticipated profits for small projects</w:t>
            </w:r>
          </w:p>
          <w:p>
            <w:pPr>
              <w:pStyle w:val="Normal"/>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12) 15,000,000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787"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AIG Brasil Interamericana</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Auto/</w:t>
            </w:r>
          </w:p>
          <w:p>
            <w:pPr>
              <w:pStyle w:val="Normal"/>
              <w:rPr/>
            </w:pPr>
            <w:r>
              <w:rPr>
                <w:sz w:val="22"/>
              </w:rPr>
              <w:t>optional coverage for damages</w:t>
            </w:r>
            <w:r>
              <w:rPr/>
              <w:t xml:space="preserve"> caused</w:t>
            </w:r>
          </w:p>
        </w:tc>
        <w:tc>
          <w:tcPr>
            <w:tcW w:w="1242" w:type="dxa"/>
            <w:tcBorders>
              <w:top w:val="single" w:sz="4" w:space="0" w:color="000000"/>
              <w:start w:val="single" w:sz="4" w:space="0" w:color="000000"/>
              <w:bottom w:val="single" w:sz="4" w:space="0" w:color="000000"/>
              <w:end w:val="single" w:sz="4" w:space="0" w:color="000000"/>
            </w:tcBorders>
          </w:tcPr>
          <w:p>
            <w:pPr>
              <w:pStyle w:val="Normal"/>
              <w:rPr/>
            </w:pPr>
            <w:r>
              <w:rPr/>
              <w:t>01/09/00</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Insured vehicle, damages caused, optional coverage for damages caused, vehicles and pain and suffering.</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start"/>
              <w:rPr/>
            </w:pPr>
            <w:r>
              <w:rPr/>
              <w:t>R$1,000 per event, applicable to vehicles and pain and suffering</w:t>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various</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R$60,403.95</w:t>
            </w:r>
          </w:p>
        </w:tc>
      </w:tr>
      <w:tr>
        <w:trPr>
          <w:trHeight w:val="2290" w:hRule="atLeast"/>
        </w:trPr>
        <w:tc>
          <w:tcPr>
            <w:tcW w:w="1368" w:type="dxa"/>
            <w:tcBorders>
              <w:top w:val="single" w:sz="4" w:space="0" w:color="000000"/>
              <w:start w:val="single" w:sz="4" w:space="0" w:color="000000"/>
              <w:bottom w:val="single" w:sz="4" w:space="0" w:color="000000"/>
              <w:end w:val="single" w:sz="4" w:space="0" w:color="000000"/>
            </w:tcBorders>
          </w:tcPr>
          <w:p>
            <w:pPr>
              <w:pStyle w:val="Normal"/>
              <w:rPr/>
            </w:pPr>
            <w:r>
              <w:rPr/>
              <w:t>AIG Brasil Interameri-cana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start"/>
              <w:rPr>
                <w:sz w:val="22"/>
              </w:rPr>
            </w:pPr>
            <w:r>
              <w:rPr>
                <w:sz w:val="22"/>
              </w:rPr>
              <w:t>Counsel, directors and/or adminis-trators of commer-cial entities</w:t>
            </w:r>
          </w:p>
        </w:tc>
        <w:tc>
          <w:tcPr>
            <w:tcW w:w="1242" w:type="dxa"/>
            <w:tcBorders>
              <w:top w:val="single" w:sz="4" w:space="0" w:color="000000"/>
              <w:start w:val="single" w:sz="4" w:space="0" w:color="000000"/>
              <w:bottom w:val="single" w:sz="4" w:space="0" w:color="000000"/>
              <w:end w:val="single" w:sz="4" w:space="0" w:color="000000"/>
            </w:tcBorders>
          </w:tcPr>
          <w:p>
            <w:pPr>
              <w:pStyle w:val="Normal"/>
              <w:rPr/>
            </w:pPr>
            <w:r>
              <w:rPr/>
              <w:t>03/17/01</w:t>
            </w:r>
          </w:p>
        </w:tc>
        <w:tc>
          <w:tcPr>
            <w:tcW w:w="4860" w:type="dxa"/>
            <w:tcBorders>
              <w:top w:val="single" w:sz="4" w:space="0" w:color="000000"/>
              <w:start w:val="single" w:sz="4" w:space="0" w:color="000000"/>
              <w:bottom w:val="single" w:sz="4" w:space="0" w:color="000000"/>
              <w:end w:val="single" w:sz="4" w:space="0" w:color="000000"/>
            </w:tcBorders>
          </w:tcPr>
          <w:p>
            <w:pPr>
              <w:pStyle w:val="Normal"/>
              <w:rPr/>
            </w:pPr>
            <w:r>
              <w:rPr/>
              <w:t>Losses and damages resulting from any claims against "counsel, directors and/or administrators, for harmful acts arising exclusively in the course of their jobs or positions."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None</w:t>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5,000,000</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US$14,018.69</w:t>
            </w:r>
          </w:p>
        </w:tc>
      </w:tr>
    </w:tbl>
    <w:p>
      <w:pPr>
        <w:pStyle w:val="Normal"/>
        <w:rPr/>
      </w:pPr>
      <w:r>
        <w:rPr/>
      </w:r>
    </w:p>
    <w:p>
      <w:pPr>
        <w:sectPr>
          <w:headerReference w:type="default" r:id="rId28"/>
          <w:headerReference w:type="first" r:id="rId29"/>
          <w:footerReference w:type="default" r:id="rId30"/>
          <w:footerReference w:type="first" r:id="rId31"/>
          <w:footnotePr>
            <w:numFmt w:val="decimal"/>
          </w:footnotePr>
          <w:type w:val="nextPage"/>
          <w:pgSz w:orient="landscape" w:w="15840" w:h="12240"/>
          <w:pgMar w:left="720" w:right="1440" w:gutter="0" w:header="720" w:top="1440" w:footer="720" w:bottom="1440"/>
          <w:pgNumType w:fmt="decimal"/>
          <w:formProt w:val="false"/>
          <w:textDirection w:val="lrTb"/>
          <w:docGrid w:type="default" w:linePitch="360" w:charSpace="0"/>
        </w:sectPr>
        <w:pStyle w:val="Normal"/>
        <w:rPr/>
      </w:pPr>
      <w:r>
        <w:rPr/>
      </w:r>
    </w:p>
    <w:p>
      <w:pPr>
        <w:pStyle w:val="Normal"/>
        <w:jc w:val="center"/>
        <w:rPr>
          <w:b/>
        </w:rPr>
      </w:pPr>
      <w:r>
        <w:rPr>
          <w:b/>
        </w:rPr>
        <w:t>SCHEDULE 5.09(d)</w:t>
      </w:r>
    </w:p>
    <w:p>
      <w:pPr>
        <w:pStyle w:val="Normal"/>
        <w:jc w:val="center"/>
        <w:rPr>
          <w:b/>
        </w:rPr>
      </w:pPr>
      <w:r>
        <w:rPr>
          <w:b/>
        </w:rPr>
      </w:r>
    </w:p>
    <w:p>
      <w:pPr>
        <w:pStyle w:val="Normal"/>
        <w:jc w:val="center"/>
        <w:rPr>
          <w:b/>
        </w:rPr>
      </w:pPr>
      <w:r>
        <w:rPr>
          <w:b/>
        </w:rPr>
        <w:t>TAX ALLOCATION AGREEMENTS</w:t>
      </w:r>
    </w:p>
    <w:p>
      <w:pPr>
        <w:pStyle w:val="Normal"/>
        <w:rPr>
          <w:b/>
        </w:rPr>
      </w:pPr>
      <w:r>
        <w:rPr>
          <w:b/>
        </w:rPr>
      </w:r>
    </w:p>
    <w:p>
      <w:pPr>
        <w:pStyle w:val="Normal"/>
        <w:rPr>
          <w:b/>
        </w:rPr>
      </w:pPr>
      <w:r>
        <w:rPr>
          <w:b/>
        </w:rPr>
      </w:r>
    </w:p>
    <w:p>
      <w:pPr>
        <w:pStyle w:val="Normal"/>
        <w:rPr>
          <w:b/>
        </w:rPr>
      </w:pPr>
      <w:r>
        <w:rPr>
          <w:b/>
        </w:rPr>
        <w:t>[Company to supply.]</w:t>
      </w:r>
    </w:p>
    <w:p>
      <w:pPr>
        <w:pStyle w:val="Normal"/>
        <w:rPr>
          <w:b/>
        </w:rPr>
      </w:pPr>
      <w:r>
        <w:rPr>
          <w:b/>
        </w:rPr>
      </w:r>
    </w:p>
    <w:p>
      <w:pPr>
        <w:sectPr>
          <w:headerReference w:type="default" r:id="rId32"/>
          <w:headerReference w:type="first" r:id="rId33"/>
          <w:footerReference w:type="default" r:id="rId34"/>
          <w:footerReference w:type="first" r:id="rId35"/>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rPr/>
      </w:pPr>
      <w:r>
        <w:rPr/>
      </w:r>
    </w:p>
    <w:p>
      <w:pPr>
        <w:pStyle w:val="Normal"/>
        <w:jc w:val="center"/>
        <w:rPr>
          <w:b/>
        </w:rPr>
      </w:pPr>
      <w:r>
        <w:rPr>
          <w:b/>
        </w:rPr>
        <w:t>SCHEDULE 5.10(a)</w:t>
      </w:r>
    </w:p>
    <w:p>
      <w:pPr>
        <w:pStyle w:val="Normal"/>
        <w:jc w:val="center"/>
        <w:rPr>
          <w:b/>
        </w:rPr>
      </w:pPr>
      <w:r>
        <w:rPr>
          <w:b/>
        </w:rPr>
      </w:r>
    </w:p>
    <w:p>
      <w:pPr>
        <w:pStyle w:val="Normal"/>
        <w:jc w:val="center"/>
        <w:rPr>
          <w:b/>
        </w:rPr>
      </w:pPr>
      <w:r>
        <w:rPr>
          <w:b/>
        </w:rPr>
        <w:t>PRINCIPAL CONTRACTS</w:t>
      </w:r>
    </w:p>
    <w:p>
      <w:pPr>
        <w:pStyle w:val="Normal"/>
        <w:jc w:val="center"/>
        <w:rPr>
          <w:b/>
        </w:rPr>
      </w:pPr>
      <w:r>
        <w:rPr>
          <w:b/>
        </w:rPr>
        <w:t>(OTHER THAN RELATED PARTY CONTRACTS</w:t>
      </w:r>
    </w:p>
    <w:p>
      <w:pPr>
        <w:pStyle w:val="Normal"/>
        <w:jc w:val="center"/>
        <w:rPr>
          <w:b/>
        </w:rPr>
      </w:pPr>
      <w:r>
        <w:rPr>
          <w:b/>
        </w:rPr>
        <w:t>AND SURETYSHIP ARRANGEMENTS)</w:t>
      </w:r>
    </w:p>
    <w:p>
      <w:pPr>
        <w:pStyle w:val="Normal"/>
        <w:rPr>
          <w:b/>
        </w:rPr>
      </w:pPr>
      <w:r>
        <w:rPr>
          <w:b/>
        </w:rPr>
      </w:r>
    </w:p>
    <w:p>
      <w:pPr>
        <w:pStyle w:val="Normal"/>
        <w:rPr>
          <w:b/>
        </w:rPr>
      </w:pPr>
      <w:r>
        <w:rPr>
          <w:b/>
        </w:rPr>
      </w:r>
    </w:p>
    <w:p>
      <w:pPr>
        <w:pStyle w:val="Normal"/>
        <w:ind w:hanging="720" w:start="720" w:end="0"/>
        <w:rPr/>
      </w:pPr>
      <w:r>
        <w:rPr/>
        <w:t>I.</w:t>
        <w:tab/>
        <w:t>See the Index to Documents, a copy of which is attached to this Schedule, contained in the Data Room relating to the transactions contemplated by the Agreement.  All Principal Contracts are listed among the contracts and agreements therein listed (other than Significant Suretyship Arrangements, which are listed on Schedule 5.10(b) and Schedule 7.05 respectively to this Parent Disclosure Letter) and are hereby incorporated herein by this reference.</w:t>
      </w:r>
    </w:p>
    <w:p>
      <w:pPr>
        <w:pStyle w:val="Normal"/>
        <w:ind w:hanging="720" w:start="720" w:end="0"/>
        <w:rPr/>
      </w:pPr>
      <w:r>
        <w:rPr/>
      </w:r>
    </w:p>
    <w:p>
      <w:pPr>
        <w:pStyle w:val="Normal"/>
        <w:ind w:hanging="720" w:start="720" w:end="0"/>
        <w:rPr/>
      </w:pPr>
      <w:r>
        <w:rPr/>
        <w:t>II.</w:t>
        <w:tab/>
        <w:t>The balance of this Schedule 5.10(a) sets forth a list of each Principal Contract, other than any Related Party Contract or Suretyship Arrangement, with respect to which a party thereto may be in default in performance of such Principal Contract:</w:t>
      </w:r>
    </w:p>
    <w:p>
      <w:pPr>
        <w:pStyle w:val="Normal"/>
        <w:ind w:hanging="720" w:start="720" w:end="0"/>
        <w:rPr/>
      </w:pPr>
      <w:r>
        <w:rPr/>
      </w:r>
    </w:p>
    <w:p>
      <w:pPr>
        <w:sectPr>
          <w:headerReference w:type="default" r:id="rId36"/>
          <w:headerReference w:type="first" r:id="rId37"/>
          <w:footerReference w:type="default" r:id="rId38"/>
          <w:footerReference w:type="first" r:id="rId39"/>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pPr>
      <w:r>
        <w:rPr/>
        <w:tab/>
        <w:t>None.</w:t>
      </w:r>
    </w:p>
    <w:p>
      <w:pPr>
        <w:pStyle w:val="Normal"/>
        <w:ind w:hanging="720" w:start="720" w:end="0"/>
        <w:jc w:val="center"/>
        <w:rPr>
          <w:b/>
        </w:rPr>
      </w:pPr>
      <w:r>
        <w:rPr>
          <w:b/>
        </w:rPr>
        <w:t>SCHEDULE 5.10(b)</w:t>
      </w:r>
    </w:p>
    <w:p>
      <w:pPr>
        <w:pStyle w:val="Normal"/>
        <w:ind w:hanging="720" w:start="720" w:end="0"/>
        <w:jc w:val="center"/>
        <w:rPr>
          <w:b/>
        </w:rPr>
      </w:pPr>
      <w:r>
        <w:rPr>
          <w:b/>
        </w:rPr>
      </w:r>
    </w:p>
    <w:p>
      <w:pPr>
        <w:pStyle w:val="Normal"/>
        <w:ind w:hanging="720" w:start="720" w:end="0"/>
        <w:jc w:val="center"/>
        <w:rPr>
          <w:b/>
        </w:rPr>
      </w:pPr>
      <w:r>
        <w:rPr>
          <w:b/>
        </w:rPr>
        <w:t>SIGNIFICANT SURETYSHIP ARRANGEMENTS</w:t>
      </w:r>
    </w:p>
    <w:p>
      <w:pPr>
        <w:pStyle w:val="Normal"/>
        <w:ind w:hanging="720" w:start="720" w:end="0"/>
        <w:rPr>
          <w:b/>
        </w:rPr>
      </w:pPr>
      <w:r>
        <w:rPr>
          <w:b/>
        </w:rPr>
      </w:r>
    </w:p>
    <w:p>
      <w:pPr>
        <w:pStyle w:val="Normal"/>
        <w:ind w:hanging="720" w:start="720" w:end="0"/>
        <w:rPr>
          <w:b/>
        </w:rPr>
      </w:pPr>
      <w:r>
        <w:rPr>
          <w:b/>
        </w:rPr>
      </w:r>
    </w:p>
    <w:p>
      <w:pPr>
        <w:sectPr>
          <w:headerReference w:type="default" r:id="rId40"/>
          <w:headerReference w:type="first" r:id="rId41"/>
          <w:footerReference w:type="default" r:id="rId42"/>
          <w:footerReference w:type="first" r:id="rId43"/>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b/>
        </w:rPr>
      </w:pPr>
      <w:r>
        <w:rPr>
          <w:b/>
        </w:rPr>
        <w:t>[To come.]</w:t>
      </w:r>
    </w:p>
    <w:p>
      <w:pPr>
        <w:pStyle w:val="Normal"/>
        <w:ind w:hanging="720" w:start="720" w:end="0"/>
        <w:jc w:val="center"/>
        <w:rPr>
          <w:b/>
        </w:rPr>
      </w:pPr>
      <w:r>
        <w:rPr>
          <w:b/>
        </w:rPr>
        <w:t>SCHEDULE 5.11(b)</w:t>
      </w:r>
    </w:p>
    <w:p>
      <w:pPr>
        <w:pStyle w:val="Normal"/>
        <w:ind w:hanging="720" w:start="720" w:end="0"/>
        <w:jc w:val="center"/>
        <w:rPr>
          <w:b/>
        </w:rPr>
      </w:pPr>
      <w:r>
        <w:rPr>
          <w:b/>
        </w:rPr>
      </w:r>
    </w:p>
    <w:p>
      <w:pPr>
        <w:pStyle w:val="Normal"/>
        <w:ind w:hanging="720" w:start="720" w:end="0"/>
        <w:jc w:val="center"/>
        <w:rPr>
          <w:b/>
        </w:rPr>
      </w:pPr>
      <w:r>
        <w:rPr>
          <w:b/>
        </w:rPr>
        <w:t>BENEFIT PLANS</w:t>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t>[To come.]</w:t>
      </w:r>
    </w:p>
    <w:p>
      <w:pPr>
        <w:sectPr>
          <w:headerReference w:type="default" r:id="rId44"/>
          <w:headerReference w:type="first" r:id="rId45"/>
          <w:footerReference w:type="default" r:id="rId46"/>
          <w:footerReference w:type="first" r:id="rId47"/>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b/>
        </w:rPr>
      </w:pPr>
      <w:r>
        <w:rPr>
          <w:b/>
        </w:rPr>
      </w:r>
    </w:p>
    <w:p>
      <w:pPr>
        <w:pStyle w:val="Normal"/>
        <w:ind w:hanging="720" w:start="720" w:end="0"/>
        <w:jc w:val="center"/>
        <w:rPr>
          <w:b/>
        </w:rPr>
      </w:pPr>
      <w:r>
        <w:rPr>
          <w:b/>
        </w:rPr>
        <w:t>SCHEDULE 5.11(c)</w:t>
      </w:r>
    </w:p>
    <w:p>
      <w:pPr>
        <w:pStyle w:val="Normal"/>
        <w:ind w:hanging="720" w:start="720" w:end="0"/>
        <w:jc w:val="center"/>
        <w:rPr>
          <w:b/>
        </w:rPr>
      </w:pPr>
      <w:r>
        <w:rPr>
          <w:b/>
        </w:rPr>
      </w:r>
    </w:p>
    <w:p>
      <w:pPr>
        <w:pStyle w:val="Normal"/>
        <w:ind w:hanging="720" w:start="720" w:end="0"/>
        <w:jc w:val="center"/>
        <w:rPr>
          <w:b/>
        </w:rPr>
      </w:pPr>
      <w:r>
        <w:rPr>
          <w:b/>
        </w:rPr>
        <w:t>ACTIONS, SUITS AND CLAIMS</w:t>
      </w:r>
    </w:p>
    <w:p>
      <w:pPr>
        <w:pStyle w:val="Normal"/>
        <w:ind w:hanging="720" w:start="720" w:end="0"/>
        <w:jc w:val="center"/>
        <w:rPr>
          <w:b/>
        </w:rPr>
      </w:pPr>
      <w:r>
        <w:rPr>
          <w:b/>
        </w:rPr>
        <w:t>RELATED TO BENEFIT PLANS</w:t>
      </w:r>
    </w:p>
    <w:p>
      <w:pPr>
        <w:pStyle w:val="Normal"/>
        <w:ind w:hanging="720" w:start="720" w:end="0"/>
        <w:rPr>
          <w:b/>
        </w:rPr>
      </w:pPr>
      <w:r>
        <w:rPr>
          <w:b/>
        </w:rPr>
      </w:r>
    </w:p>
    <w:p>
      <w:pPr>
        <w:pStyle w:val="Normal"/>
        <w:ind w:hanging="720" w:start="720" w:end="0"/>
        <w:rPr>
          <w:b/>
        </w:rPr>
      </w:pPr>
      <w:r>
        <w:rPr>
          <w:b/>
        </w:rPr>
      </w:r>
    </w:p>
    <w:p>
      <w:pPr>
        <w:pStyle w:val="Normal"/>
        <w:ind w:hanging="720" w:start="720" w:end="0"/>
        <w:rPr/>
      </w:pPr>
      <w:r>
        <w:rPr/>
        <w:t>1.</w:t>
        <w:tab/>
        <w:t xml:space="preserve">GASIUS, CEG’s pension plan is underfunded and under government intervetion.  </w:t>
      </w:r>
      <w:r>
        <w:rPr>
          <w:b/>
        </w:rPr>
        <w:t>[The estimated maximum potential liability for all owners of CEG is $38.4 million, of which 25.3833% may be attributed to the Subject Company based upon its ownership interest in CEG.]  [Company to confirm whether this item needs to be listed on the CEG/RIO schedule as well as the CEG schedule.]</w:t>
      </w:r>
    </w:p>
    <w:p>
      <w:pPr>
        <w:pStyle w:val="Normal"/>
        <w:ind w:hanging="720" w:start="720" w:end="0"/>
        <w:rPr>
          <w:b/>
        </w:rPr>
      </w:pPr>
      <w:r>
        <w:rPr>
          <w:b/>
        </w:rPr>
      </w:r>
    </w:p>
    <w:p>
      <w:pPr>
        <w:pStyle w:val="Normal"/>
        <w:ind w:hanging="720" w:start="720" w:end="0"/>
        <w:rPr>
          <w:b/>
        </w:rPr>
      </w:pPr>
      <w:r>
        <w:rPr>
          <w:b/>
        </w:rPr>
      </w:r>
    </w:p>
    <w:p>
      <w:pPr>
        <w:sectPr>
          <w:headerReference w:type="default" r:id="rId48"/>
          <w:headerReference w:type="first" r:id="rId49"/>
          <w:footerReference w:type="default" r:id="rId50"/>
          <w:footerReference w:type="first" r:id="rId51"/>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b/>
        </w:rPr>
      </w:pPr>
      <w:r>
        <w:rPr>
          <w:b/>
        </w:rPr>
      </w:r>
    </w:p>
    <w:p>
      <w:pPr>
        <w:pStyle w:val="Normal"/>
        <w:ind w:hanging="720" w:start="720" w:end="0"/>
        <w:jc w:val="center"/>
        <w:rPr>
          <w:b/>
        </w:rPr>
      </w:pPr>
      <w:r>
        <w:rPr>
          <w:b/>
        </w:rPr>
        <w:t>SCHEDULE 5.12</w:t>
      </w:r>
    </w:p>
    <w:p>
      <w:pPr>
        <w:pStyle w:val="Normal"/>
        <w:ind w:hanging="720" w:start="720" w:end="0"/>
        <w:jc w:val="center"/>
        <w:rPr>
          <w:b/>
        </w:rPr>
      </w:pPr>
      <w:r>
        <w:rPr>
          <w:b/>
        </w:rPr>
      </w:r>
    </w:p>
    <w:p>
      <w:pPr>
        <w:pStyle w:val="Normal"/>
        <w:ind w:hanging="720" w:start="720" w:end="0"/>
        <w:jc w:val="center"/>
        <w:rPr>
          <w:b/>
        </w:rPr>
      </w:pPr>
      <w:r>
        <w:rPr>
          <w:b/>
        </w:rPr>
        <w:t>ENVIRONMENTAL MATTERS</w:t>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t>[To come.]</w:t>
      </w:r>
    </w:p>
    <w:p>
      <w:pPr>
        <w:sectPr>
          <w:headerReference w:type="default" r:id="rId52"/>
          <w:headerReference w:type="first" r:id="rId53"/>
          <w:footerReference w:type="default" r:id="rId54"/>
          <w:footerReference w:type="first" r:id="rId55"/>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b/>
        </w:rPr>
      </w:pPr>
      <w:r>
        <w:rPr>
          <w:b/>
        </w:rPr>
      </w:r>
    </w:p>
    <w:p>
      <w:pPr>
        <w:pStyle w:val="Normal"/>
        <w:ind w:hanging="720" w:start="720" w:end="0"/>
        <w:jc w:val="center"/>
        <w:rPr>
          <w:b/>
        </w:rPr>
      </w:pPr>
      <w:r>
        <w:rPr>
          <w:b/>
        </w:rPr>
        <w:t>SCHEDULE 5.13</w:t>
      </w:r>
    </w:p>
    <w:p>
      <w:pPr>
        <w:pStyle w:val="Normal"/>
        <w:ind w:hanging="720" w:start="720" w:end="0"/>
        <w:jc w:val="center"/>
        <w:rPr>
          <w:b/>
        </w:rPr>
      </w:pPr>
      <w:r>
        <w:rPr>
          <w:b/>
        </w:rPr>
      </w:r>
    </w:p>
    <w:p>
      <w:pPr>
        <w:pStyle w:val="Normal"/>
        <w:ind w:hanging="720" w:start="720" w:end="0"/>
        <w:jc w:val="center"/>
        <w:rPr>
          <w:b/>
        </w:rPr>
      </w:pPr>
      <w:r>
        <w:rPr>
          <w:b/>
        </w:rPr>
        <w:t>LITIGATION</w:t>
      </w:r>
    </w:p>
    <w:p>
      <w:pPr>
        <w:pStyle w:val="Normal"/>
        <w:ind w:hanging="720" w:start="720" w:end="0"/>
        <w:rPr>
          <w:b/>
        </w:rPr>
      </w:pPr>
      <w:r>
        <w:rPr>
          <w:b/>
        </w:rPr>
      </w:r>
    </w:p>
    <w:p>
      <w:pPr>
        <w:pStyle w:val="Normal"/>
        <w:rPr>
          <w:b/>
        </w:rPr>
      </w:pPr>
      <w:r>
        <w:rPr>
          <w:b/>
        </w:rPr>
      </w:r>
    </w:p>
    <w:p>
      <w:pPr>
        <w:pStyle w:val="Normal"/>
        <w:rPr/>
      </w:pPr>
      <w:r>
        <w:rPr>
          <w:u w:val="single"/>
        </w:rPr>
        <w:t>CEG-Rio</w:t>
      </w:r>
      <w:r>
        <w:rPr/>
        <w:t>:</w:t>
      </w:r>
    </w:p>
    <w:p>
      <w:pPr>
        <w:pStyle w:val="Normal"/>
        <w:rPr>
          <w:b/>
        </w:rPr>
      </w:pPr>
      <w:r>
        <w:rPr>
          <w:b/>
        </w:rPr>
      </w:r>
    </w:p>
    <w:p>
      <w:pPr>
        <w:pStyle w:val="Normal"/>
        <w:ind w:hanging="720" w:start="720" w:end="0"/>
        <w:rPr/>
      </w:pPr>
      <w:r>
        <w:rPr/>
        <w:t>1.</w:t>
        <w:tab/>
        <w:t xml:space="preserve">The Administrative Counsel of Economic Defense (“CADE”) is investigating a November 1999 complaint filed by four of CEG-Rio’s industrial customers alleging abusive pricing practices by CEG-Rio.  CADE has issued a temporary </w:t>
      </w:r>
      <w:r>
        <w:rPr>
          <w:b/>
        </w:rPr>
        <w:t>[restraining?]</w:t>
      </w:r>
      <w:r>
        <w:rPr/>
        <w:t xml:space="preserve"> order prohibiting CEG-Rio from collecting any distribution margin over and above the distribution margin in effect at the time of privatization in July 1997. </w:t>
      </w:r>
      <w:r>
        <w:rPr>
          <w:b/>
        </w:rPr>
        <w:t xml:space="preserve"> [Company to confirm whether this matter should be listed on this schedule and the accuracy of this description; Company to confirm whether this matter has been resolved as indicated in 7/27/00 e-mail from Vicky Martinez.]</w:t>
      </w:r>
    </w:p>
    <w:p>
      <w:pPr>
        <w:pStyle w:val="Normal"/>
        <w:ind w:hanging="720" w:start="720" w:end="0"/>
        <w:rPr/>
      </w:pPr>
      <w:r>
        <w:rPr/>
      </w:r>
    </w:p>
    <w:p>
      <w:pPr>
        <w:pStyle w:val="Normal"/>
        <w:ind w:hanging="720" w:start="720" w:end="0"/>
        <w:rPr/>
      </w:pPr>
      <w:r>
        <w:rPr/>
        <w:t>2.</w:t>
        <w:tab/>
      </w:r>
      <w:r>
        <w:rPr>
          <w:b/>
        </w:rPr>
        <w:t>[SDE is conditioning final approval of the Atos de Concentracao on the fiscal separation of gas commercialization and distribution within six months and a legal separation within one year.]  [Company to confirm whether this matter should be listed on this schedule and the accuracy of this description.]</w:t>
      </w:r>
    </w:p>
    <w:p>
      <w:pPr>
        <w:pStyle w:val="Normal"/>
        <w:ind w:hanging="720" w:start="720" w:end="0"/>
        <w:rPr>
          <w:b/>
        </w:rPr>
      </w:pPr>
      <w:r>
        <w:rPr>
          <w:b/>
        </w:rPr>
      </w:r>
    </w:p>
    <w:p>
      <w:pPr>
        <w:pStyle w:val="Normal"/>
        <w:ind w:hanging="720" w:start="720" w:end="0"/>
        <w:rPr/>
      </w:pPr>
      <w:r>
        <w:rPr/>
        <w:t>3.</w:t>
        <w:tab/>
        <w:t xml:space="preserve">GASIUS, CEG’s pension plan is underfunded and under government intervetion.  </w:t>
      </w:r>
      <w:r>
        <w:rPr>
          <w:b/>
        </w:rPr>
        <w:t>[The estimated maximum potential liability for all owners of CEG is $38.4 million, of which 25.3833% may be attributed to the Subject Company based upon its ownership interest in CEG.]  [Company to confirm whether this item needs to be listed on the CEG/RIO schedule as well as the CEG schedule.]</w:t>
      </w:r>
    </w:p>
    <w:p>
      <w:pPr>
        <w:pStyle w:val="Normal"/>
        <w:ind w:hanging="720" w:start="720" w:end="0"/>
        <w:rPr>
          <w:b/>
        </w:rPr>
      </w:pPr>
      <w:r>
        <w:rPr>
          <w:b/>
        </w:rPr>
      </w:r>
    </w:p>
    <w:p>
      <w:pPr>
        <w:sectPr>
          <w:headerReference w:type="default" r:id="rId56"/>
          <w:headerReference w:type="first" r:id="rId57"/>
          <w:footerReference w:type="default" r:id="rId58"/>
          <w:footerReference w:type="first" r:id="rId59"/>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pPr>
      <w:r>
        <w:rPr/>
      </w:r>
    </w:p>
    <w:p>
      <w:pPr>
        <w:pStyle w:val="Normal"/>
        <w:ind w:hanging="720" w:start="720" w:end="0"/>
        <w:jc w:val="center"/>
        <w:rPr>
          <w:b/>
        </w:rPr>
      </w:pPr>
      <w:r>
        <w:rPr>
          <w:b/>
        </w:rPr>
        <w:t>SCHEDULE 5.14(a)</w:t>
      </w:r>
    </w:p>
    <w:p>
      <w:pPr>
        <w:pStyle w:val="Normal"/>
        <w:ind w:hanging="720" w:start="720" w:end="0"/>
        <w:jc w:val="center"/>
        <w:rPr>
          <w:b/>
        </w:rPr>
      </w:pPr>
      <w:r>
        <w:rPr>
          <w:b/>
        </w:rPr>
      </w:r>
    </w:p>
    <w:p>
      <w:pPr>
        <w:pStyle w:val="Normal"/>
        <w:ind w:hanging="720" w:start="720" w:end="0"/>
        <w:jc w:val="center"/>
        <w:rPr>
          <w:b/>
        </w:rPr>
      </w:pPr>
      <w:r>
        <w:rPr>
          <w:b/>
        </w:rPr>
        <w:t>MATERIAL ADVERSE CHANGES</w:t>
      </w:r>
    </w:p>
    <w:p>
      <w:pPr>
        <w:pStyle w:val="Normal"/>
        <w:ind w:hanging="720" w:start="720" w:end="0"/>
        <w:rPr>
          <w:b/>
        </w:rPr>
      </w:pPr>
      <w:r>
        <w:rPr>
          <w:b/>
        </w:rPr>
      </w:r>
    </w:p>
    <w:p>
      <w:pPr>
        <w:pStyle w:val="Normal"/>
        <w:ind w:hanging="720" w:start="720" w:end="0"/>
        <w:rPr>
          <w:b/>
        </w:rPr>
      </w:pPr>
      <w:r>
        <w:rPr>
          <w:b/>
        </w:rPr>
      </w:r>
    </w:p>
    <w:p>
      <w:pPr>
        <w:pStyle w:val="Normal"/>
        <w:ind w:hanging="720" w:start="720" w:end="0"/>
        <w:rPr/>
      </w:pPr>
      <w:r>
        <w:rPr/>
        <w:t>None.</w:t>
      </w:r>
    </w:p>
    <w:p>
      <w:pPr>
        <w:sectPr>
          <w:headerReference w:type="default" r:id="rId60"/>
          <w:headerReference w:type="first" r:id="rId61"/>
          <w:footerReference w:type="default" r:id="rId62"/>
          <w:footerReference w:type="first" r:id="rId63"/>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pPr>
      <w:r>
        <w:rPr/>
      </w:r>
    </w:p>
    <w:p>
      <w:pPr>
        <w:pStyle w:val="Normal"/>
        <w:ind w:hanging="720" w:start="720" w:end="0"/>
        <w:jc w:val="center"/>
        <w:rPr>
          <w:b/>
        </w:rPr>
      </w:pPr>
      <w:r>
        <w:rPr>
          <w:b/>
        </w:rPr>
        <w:t>SCHEDULE 5.14(b)</w:t>
      </w:r>
    </w:p>
    <w:p>
      <w:pPr>
        <w:pStyle w:val="Normal"/>
        <w:ind w:hanging="720" w:start="720" w:end="0"/>
        <w:jc w:val="center"/>
        <w:rPr>
          <w:b/>
        </w:rPr>
      </w:pPr>
      <w:r>
        <w:rPr>
          <w:b/>
        </w:rPr>
      </w:r>
    </w:p>
    <w:p>
      <w:pPr>
        <w:pStyle w:val="Normal"/>
        <w:ind w:hanging="720" w:start="720" w:end="0"/>
        <w:jc w:val="center"/>
        <w:rPr>
          <w:b/>
        </w:rPr>
      </w:pPr>
      <w:r>
        <w:rPr>
          <w:b/>
        </w:rPr>
        <w:t>MATERIAL ADVERSE CHANGES</w:t>
      </w:r>
    </w:p>
    <w:p>
      <w:pPr>
        <w:pStyle w:val="Normal"/>
        <w:ind w:hanging="720" w:start="720" w:end="0"/>
        <w:rPr>
          <w:b/>
        </w:rPr>
      </w:pPr>
      <w:r>
        <w:rPr>
          <w:b/>
        </w:rPr>
      </w:r>
    </w:p>
    <w:p>
      <w:pPr>
        <w:pStyle w:val="Normal"/>
        <w:ind w:hanging="720" w:start="720" w:end="0"/>
        <w:rPr>
          <w:b/>
        </w:rPr>
      </w:pPr>
      <w:r>
        <w:rPr>
          <w:b/>
        </w:rPr>
      </w:r>
    </w:p>
    <w:p>
      <w:pPr>
        <w:pStyle w:val="Normal"/>
        <w:ind w:hanging="720" w:start="720" w:end="0"/>
        <w:rPr/>
      </w:pPr>
      <w:r>
        <w:rPr/>
        <w:t>None.</w:t>
      </w:r>
    </w:p>
    <w:p>
      <w:pPr>
        <w:sectPr>
          <w:headerReference w:type="default" r:id="rId64"/>
          <w:headerReference w:type="first" r:id="rId65"/>
          <w:footerReference w:type="default" r:id="rId66"/>
          <w:footerReference w:type="first" r:id="rId67"/>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pPr>
      <w:r>
        <w:rPr/>
      </w:r>
    </w:p>
    <w:p>
      <w:pPr>
        <w:pStyle w:val="Normal"/>
        <w:ind w:hanging="720" w:start="720" w:end="0"/>
        <w:jc w:val="center"/>
        <w:rPr>
          <w:b/>
        </w:rPr>
      </w:pPr>
      <w:r>
        <w:rPr>
          <w:b/>
        </w:rPr>
        <w:t>SCHEDULE 7.02(d)</w:t>
      </w:r>
    </w:p>
    <w:p>
      <w:pPr>
        <w:pStyle w:val="Normal"/>
        <w:ind w:hanging="720" w:start="720" w:end="0"/>
        <w:jc w:val="center"/>
        <w:rPr>
          <w:b/>
        </w:rPr>
      </w:pPr>
      <w:r>
        <w:rPr>
          <w:b/>
        </w:rPr>
      </w:r>
    </w:p>
    <w:p>
      <w:pPr>
        <w:pStyle w:val="Normal"/>
        <w:ind w:hanging="720" w:start="720" w:end="0"/>
        <w:jc w:val="center"/>
        <w:rPr>
          <w:b/>
        </w:rPr>
      </w:pPr>
      <w:r>
        <w:rPr>
          <w:b/>
        </w:rPr>
        <w:t>CAPITAL BUDGETS &amp; DEVELOPMENT BUDGETS</w:t>
      </w:r>
    </w:p>
    <w:p>
      <w:pPr>
        <w:pStyle w:val="Normal"/>
        <w:ind w:hanging="720" w:start="720" w:end="0"/>
        <w:rPr>
          <w:b/>
        </w:rPr>
      </w:pPr>
      <w:r>
        <w:rPr>
          <w:b/>
        </w:rPr>
      </w:r>
    </w:p>
    <w:p>
      <w:pPr>
        <w:pStyle w:val="Normal"/>
        <w:ind w:hanging="720" w:start="720" w:end="0"/>
        <w:rPr/>
      </w:pPr>
      <w:r>
        <w:rPr/>
      </w:r>
    </w:p>
    <w:tbl>
      <w:tblPr>
        <w:tblW w:w="6210" w:type="dxa"/>
        <w:jc w:val="start"/>
        <w:tblInd w:w="1638" w:type="dxa"/>
        <w:tblLayout w:type="fixed"/>
        <w:tblCellMar>
          <w:top w:w="0" w:type="dxa"/>
          <w:start w:w="108" w:type="dxa"/>
          <w:bottom w:w="0" w:type="dxa"/>
          <w:end w:w="108" w:type="dxa"/>
        </w:tblCellMar>
      </w:tblPr>
      <w:tblGrid>
        <w:gridCol w:w="3870"/>
        <w:gridCol w:w="2340"/>
      </w:tblGrid>
      <w:tr>
        <w:trPr/>
        <w:tc>
          <w:tcPr>
            <w:tcW w:w="6210" w:type="dxa"/>
            <w:gridSpan w:val="2"/>
            <w:tcBorders>
              <w:top w:val="single" w:sz="4" w:space="0" w:color="000000"/>
              <w:start w:val="single" w:sz="4" w:space="0" w:color="000000"/>
              <w:end w:val="single" w:sz="4" w:space="0" w:color="000000"/>
            </w:tcBorders>
          </w:tcPr>
          <w:p>
            <w:pPr>
              <w:pStyle w:val="Normal"/>
              <w:rPr>
                <w:b/>
                <w:sz w:val="22"/>
              </w:rPr>
            </w:pPr>
            <w:r>
              <w:rPr>
                <w:b/>
                <w:sz w:val="22"/>
              </w:rPr>
              <w:t>Capital Spending Program - Year 2000</w:t>
            </w:r>
          </w:p>
        </w:tc>
      </w:tr>
      <w:tr>
        <w:trPr/>
        <w:tc>
          <w:tcPr>
            <w:tcW w:w="6210" w:type="dxa"/>
            <w:gridSpan w:val="2"/>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CEG/RIO (US$ Thousand)</w:t>
            </w:r>
          </w:p>
        </w:tc>
      </w:tr>
      <w:tr>
        <w:trPr/>
        <w:tc>
          <w:tcPr>
            <w:tcW w:w="3870" w:type="dxa"/>
            <w:tcBorders>
              <w:start w:val="single" w:sz="4" w:space="0" w:color="000000"/>
            </w:tcBorders>
          </w:tcPr>
          <w:p>
            <w:pPr>
              <w:pStyle w:val="Normal"/>
              <w:snapToGrid w:val="false"/>
              <w:rPr>
                <w:b/>
                <w:sz w:val="22"/>
              </w:rPr>
            </w:pPr>
            <w:r>
              <w:rPr>
                <w:b/>
                <w:sz w:val="22"/>
              </w:rPr>
            </w:r>
          </w:p>
        </w:tc>
        <w:tc>
          <w:tcPr>
            <w:tcW w:w="2340" w:type="dxa"/>
            <w:tcBorders>
              <w:end w:val="single" w:sz="4" w:space="0" w:color="000000"/>
            </w:tcBorders>
          </w:tcPr>
          <w:p>
            <w:pPr>
              <w:pStyle w:val="Normal"/>
              <w:snapToGrid w:val="false"/>
              <w:rPr/>
            </w:pPr>
            <w:r>
              <w:rPr/>
            </w:r>
          </w:p>
        </w:tc>
      </w:tr>
      <w:tr>
        <w:trPr/>
        <w:tc>
          <w:tcPr>
            <w:tcW w:w="3870" w:type="dxa"/>
            <w:tcBorders>
              <w:start w:val="single" w:sz="4" w:space="0" w:color="000000"/>
            </w:tcBorders>
          </w:tcPr>
          <w:p>
            <w:pPr>
              <w:pStyle w:val="Normal"/>
              <w:rPr>
                <w:sz w:val="22"/>
              </w:rPr>
            </w:pPr>
            <w:r>
              <w:rPr>
                <w:sz w:val="22"/>
              </w:rPr>
              <w:t>New Network</w:t>
            </w:r>
          </w:p>
        </w:tc>
        <w:tc>
          <w:tcPr>
            <w:tcW w:w="2340" w:type="dxa"/>
            <w:tcBorders>
              <w:end w:val="single" w:sz="4" w:space="0" w:color="000000"/>
            </w:tcBorders>
          </w:tcPr>
          <w:p>
            <w:pPr>
              <w:pStyle w:val="Normal"/>
              <w:jc w:val="center"/>
              <w:rPr>
                <w:sz w:val="22"/>
              </w:rPr>
            </w:pPr>
            <w:r>
              <w:rPr>
                <w:sz w:val="22"/>
              </w:rPr>
              <w:t>3,884</w:t>
            </w:r>
          </w:p>
        </w:tc>
      </w:tr>
      <w:tr>
        <w:trPr/>
        <w:tc>
          <w:tcPr>
            <w:tcW w:w="3870" w:type="dxa"/>
            <w:tcBorders>
              <w:start w:val="single" w:sz="4" w:space="0" w:color="000000"/>
            </w:tcBorders>
          </w:tcPr>
          <w:p>
            <w:pPr>
              <w:pStyle w:val="Normal"/>
              <w:rPr>
                <w:sz w:val="22"/>
              </w:rPr>
            </w:pPr>
            <w:r>
              <w:rPr>
                <w:sz w:val="22"/>
              </w:rPr>
              <w:tab/>
              <w:t>Transportation</w:t>
            </w:r>
          </w:p>
        </w:tc>
        <w:tc>
          <w:tcPr>
            <w:tcW w:w="2340" w:type="dxa"/>
            <w:tcBorders>
              <w:end w:val="single" w:sz="4" w:space="0" w:color="000000"/>
            </w:tcBorders>
          </w:tcPr>
          <w:p>
            <w:pPr>
              <w:pStyle w:val="Normal"/>
              <w:jc w:val="center"/>
              <w:rPr>
                <w:sz w:val="22"/>
              </w:rPr>
            </w:pPr>
            <w:r>
              <w:rPr>
                <w:sz w:val="22"/>
              </w:rPr>
              <w:t>1,829</w:t>
            </w:r>
          </w:p>
        </w:tc>
      </w:tr>
      <w:tr>
        <w:trPr/>
        <w:tc>
          <w:tcPr>
            <w:tcW w:w="3870" w:type="dxa"/>
            <w:tcBorders>
              <w:start w:val="single" w:sz="4" w:space="0" w:color="000000"/>
            </w:tcBorders>
          </w:tcPr>
          <w:p>
            <w:pPr>
              <w:pStyle w:val="Normal"/>
              <w:rPr>
                <w:sz w:val="22"/>
              </w:rPr>
            </w:pPr>
            <w:r>
              <w:rPr>
                <w:sz w:val="22"/>
              </w:rPr>
              <w:tab/>
              <w:t>Distribution</w:t>
            </w:r>
          </w:p>
        </w:tc>
        <w:tc>
          <w:tcPr>
            <w:tcW w:w="2340" w:type="dxa"/>
            <w:tcBorders>
              <w:end w:val="single" w:sz="4" w:space="0" w:color="000000"/>
            </w:tcBorders>
          </w:tcPr>
          <w:p>
            <w:pPr>
              <w:pStyle w:val="Normal"/>
              <w:jc w:val="center"/>
              <w:rPr>
                <w:sz w:val="22"/>
              </w:rPr>
            </w:pPr>
            <w:r>
              <w:rPr>
                <w:sz w:val="22"/>
              </w:rPr>
              <w:t>2,055</w:t>
            </w:r>
          </w:p>
        </w:tc>
      </w:tr>
      <w:tr>
        <w:trPr/>
        <w:tc>
          <w:tcPr>
            <w:tcW w:w="3870" w:type="dxa"/>
            <w:tcBorders>
              <w:start w:val="single" w:sz="4" w:space="0" w:color="000000"/>
            </w:tcBorders>
          </w:tcPr>
          <w:p>
            <w:pPr>
              <w:pStyle w:val="Normal"/>
              <w:snapToGrid w:val="false"/>
              <w:rPr>
                <w:sz w:val="22"/>
              </w:rPr>
            </w:pPr>
            <w:r>
              <w:rPr>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start w:val="single" w:sz="4" w:space="0" w:color="000000"/>
            </w:tcBorders>
          </w:tcPr>
          <w:p>
            <w:pPr>
              <w:pStyle w:val="Normal"/>
              <w:rPr>
                <w:sz w:val="22"/>
              </w:rPr>
            </w:pPr>
            <w:r>
              <w:rPr>
                <w:sz w:val="22"/>
              </w:rPr>
              <w:t>Renewal of the Existing Network</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rPr>
                <w:sz w:val="22"/>
              </w:rPr>
            </w:pPr>
            <w:r>
              <w:rPr>
                <w:sz w:val="22"/>
              </w:rPr>
              <w:tab/>
              <w:t>High Pressure</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rPr>
                <w:sz w:val="22"/>
              </w:rPr>
            </w:pPr>
            <w:r>
              <w:rPr>
                <w:sz w:val="22"/>
              </w:rPr>
              <w:tab/>
              <w:t>Medium &amp; Low Pressure</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rPr>
                <w:sz w:val="22"/>
              </w:rPr>
            </w:pPr>
            <w:r>
              <w:rPr>
                <w:sz w:val="22"/>
              </w:rPr>
              <w:tab/>
              <w:t>Network Repositioning</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rPr>
                <w:sz w:val="22"/>
              </w:rPr>
            </w:pPr>
            <w:r>
              <w:rPr>
                <w:sz w:val="22"/>
              </w:rPr>
              <w:tab/>
              <w:t>Enlargement &amp; Reconnections</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snapToGrid w:val="false"/>
              <w:rPr>
                <w:sz w:val="22"/>
              </w:rPr>
            </w:pPr>
            <w:r>
              <w:rPr>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top w:val="single" w:sz="4" w:space="0" w:color="000000"/>
              <w:start w:val="single" w:sz="4" w:space="0" w:color="000000"/>
              <w:bottom w:val="single" w:sz="4" w:space="0" w:color="000000"/>
            </w:tcBorders>
          </w:tcPr>
          <w:p>
            <w:pPr>
              <w:pStyle w:val="Normal"/>
              <w:rPr>
                <w:b/>
                <w:sz w:val="22"/>
              </w:rPr>
            </w:pPr>
            <w:r>
              <w:rPr>
                <w:b/>
                <w:sz w:val="22"/>
              </w:rPr>
              <w:t>Total Network</w:t>
            </w:r>
          </w:p>
        </w:tc>
        <w:tc>
          <w:tcPr>
            <w:tcW w:w="2340" w:type="dxa"/>
            <w:tcBorders>
              <w:top w:val="single" w:sz="4" w:space="0" w:color="000000"/>
              <w:bottom w:val="single" w:sz="4" w:space="0" w:color="000000"/>
              <w:end w:val="single" w:sz="4" w:space="0" w:color="000000"/>
            </w:tcBorders>
          </w:tcPr>
          <w:p>
            <w:pPr>
              <w:pStyle w:val="Normal"/>
              <w:jc w:val="center"/>
              <w:rPr>
                <w:b/>
                <w:sz w:val="22"/>
              </w:rPr>
            </w:pPr>
            <w:r>
              <w:rPr>
                <w:b/>
                <w:sz w:val="22"/>
              </w:rPr>
              <w:t>3,884</w:t>
            </w:r>
          </w:p>
        </w:tc>
      </w:tr>
      <w:tr>
        <w:trPr/>
        <w:tc>
          <w:tcPr>
            <w:tcW w:w="3870" w:type="dxa"/>
            <w:tcBorders>
              <w:start w:val="single" w:sz="4" w:space="0" w:color="000000"/>
            </w:tcBorders>
          </w:tcPr>
          <w:p>
            <w:pPr>
              <w:pStyle w:val="Normal"/>
              <w:snapToGrid w:val="false"/>
              <w:rPr>
                <w:b/>
                <w:sz w:val="22"/>
              </w:rPr>
            </w:pPr>
            <w:r>
              <w:rPr>
                <w:b/>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start w:val="single" w:sz="4" w:space="0" w:color="000000"/>
            </w:tcBorders>
          </w:tcPr>
          <w:p>
            <w:pPr>
              <w:pStyle w:val="Normal"/>
              <w:jc w:val="start"/>
              <w:rPr>
                <w:sz w:val="22"/>
              </w:rPr>
            </w:pPr>
            <w:r>
              <w:rPr>
                <w:sz w:val="22"/>
              </w:rPr>
              <w:t>Branches</w:t>
            </w:r>
          </w:p>
        </w:tc>
        <w:tc>
          <w:tcPr>
            <w:tcW w:w="2340" w:type="dxa"/>
            <w:tcBorders>
              <w:end w:val="single" w:sz="4" w:space="0" w:color="000000"/>
            </w:tcBorders>
          </w:tcPr>
          <w:p>
            <w:pPr>
              <w:pStyle w:val="Normal"/>
              <w:jc w:val="center"/>
              <w:rPr>
                <w:sz w:val="22"/>
              </w:rPr>
            </w:pPr>
            <w:r>
              <w:rPr>
                <w:sz w:val="22"/>
              </w:rPr>
              <w:t>761</w:t>
            </w:r>
          </w:p>
        </w:tc>
      </w:tr>
      <w:tr>
        <w:trPr/>
        <w:tc>
          <w:tcPr>
            <w:tcW w:w="3870" w:type="dxa"/>
            <w:tcBorders>
              <w:start w:val="single" w:sz="4" w:space="0" w:color="000000"/>
            </w:tcBorders>
          </w:tcPr>
          <w:p>
            <w:pPr>
              <w:pStyle w:val="Normal"/>
              <w:jc w:val="start"/>
              <w:rPr>
                <w:sz w:val="22"/>
              </w:rPr>
            </w:pPr>
            <w:r>
              <w:rPr>
                <w:sz w:val="22"/>
              </w:rPr>
              <w:tab/>
              <w:t>New</w:t>
            </w:r>
          </w:p>
        </w:tc>
        <w:tc>
          <w:tcPr>
            <w:tcW w:w="2340" w:type="dxa"/>
            <w:tcBorders>
              <w:end w:val="single" w:sz="4" w:space="0" w:color="000000"/>
            </w:tcBorders>
          </w:tcPr>
          <w:p>
            <w:pPr>
              <w:pStyle w:val="Normal"/>
              <w:jc w:val="center"/>
              <w:rPr>
                <w:sz w:val="22"/>
              </w:rPr>
            </w:pPr>
            <w:r>
              <w:rPr>
                <w:sz w:val="22"/>
              </w:rPr>
              <w:t>761</w:t>
            </w:r>
          </w:p>
        </w:tc>
      </w:tr>
      <w:tr>
        <w:trPr/>
        <w:tc>
          <w:tcPr>
            <w:tcW w:w="3870" w:type="dxa"/>
            <w:tcBorders>
              <w:start w:val="single" w:sz="4" w:space="0" w:color="000000"/>
            </w:tcBorders>
          </w:tcPr>
          <w:p>
            <w:pPr>
              <w:pStyle w:val="Normal"/>
              <w:jc w:val="start"/>
              <w:rPr>
                <w:sz w:val="22"/>
              </w:rPr>
            </w:pPr>
            <w:r>
              <w:rPr>
                <w:sz w:val="22"/>
              </w:rPr>
              <w:tab/>
              <w:t>Renewal</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snapToGrid w:val="false"/>
              <w:jc w:val="start"/>
              <w:rPr>
                <w:sz w:val="22"/>
              </w:rPr>
            </w:pPr>
            <w:r>
              <w:rPr>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start w:val="single" w:sz="4" w:space="0" w:color="000000"/>
            </w:tcBorders>
          </w:tcPr>
          <w:p>
            <w:pPr>
              <w:pStyle w:val="Normal"/>
              <w:jc w:val="start"/>
              <w:rPr>
                <w:sz w:val="22"/>
              </w:rPr>
            </w:pPr>
            <w:r>
              <w:rPr>
                <w:sz w:val="22"/>
              </w:rPr>
              <w:t>Construction of Measuring &amp; Regulating Stations</w:t>
            </w:r>
          </w:p>
        </w:tc>
        <w:tc>
          <w:tcPr>
            <w:tcW w:w="2340" w:type="dxa"/>
            <w:tcBorders>
              <w:end w:val="single" w:sz="4" w:space="0" w:color="000000"/>
            </w:tcBorders>
          </w:tcPr>
          <w:p>
            <w:pPr>
              <w:pStyle w:val="Normal"/>
              <w:jc w:val="center"/>
              <w:rPr>
                <w:sz w:val="22"/>
              </w:rPr>
            </w:pPr>
            <w:r>
              <w:rPr>
                <w:sz w:val="22"/>
              </w:rPr>
              <w:t>452</w:t>
            </w:r>
          </w:p>
        </w:tc>
      </w:tr>
      <w:tr>
        <w:trPr/>
        <w:tc>
          <w:tcPr>
            <w:tcW w:w="3870" w:type="dxa"/>
            <w:tcBorders>
              <w:start w:val="single" w:sz="4" w:space="0" w:color="000000"/>
            </w:tcBorders>
          </w:tcPr>
          <w:p>
            <w:pPr>
              <w:pStyle w:val="Normal"/>
              <w:snapToGrid w:val="false"/>
              <w:jc w:val="start"/>
              <w:rPr>
                <w:sz w:val="22"/>
              </w:rPr>
            </w:pPr>
            <w:r>
              <w:rPr>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start w:val="single" w:sz="4" w:space="0" w:color="000000"/>
            </w:tcBorders>
          </w:tcPr>
          <w:p>
            <w:pPr>
              <w:pStyle w:val="Normal"/>
              <w:jc w:val="start"/>
              <w:rPr>
                <w:sz w:val="22"/>
              </w:rPr>
            </w:pPr>
            <w:r>
              <w:rPr>
                <w:sz w:val="22"/>
              </w:rPr>
              <w:t>Auxiliary Network Equipment</w:t>
            </w:r>
          </w:p>
        </w:tc>
        <w:tc>
          <w:tcPr>
            <w:tcW w:w="2340" w:type="dxa"/>
            <w:tcBorders>
              <w:end w:val="single" w:sz="4" w:space="0" w:color="000000"/>
            </w:tcBorders>
          </w:tcPr>
          <w:p>
            <w:pPr>
              <w:pStyle w:val="Normal"/>
              <w:jc w:val="center"/>
              <w:rPr>
                <w:sz w:val="22"/>
              </w:rPr>
            </w:pPr>
            <w:r>
              <w:rPr>
                <w:sz w:val="22"/>
              </w:rPr>
              <w:t>328</w:t>
            </w:r>
          </w:p>
        </w:tc>
      </w:tr>
      <w:tr>
        <w:trPr/>
        <w:tc>
          <w:tcPr>
            <w:tcW w:w="3870" w:type="dxa"/>
            <w:tcBorders>
              <w:start w:val="single" w:sz="4" w:space="0" w:color="000000"/>
            </w:tcBorders>
          </w:tcPr>
          <w:p>
            <w:pPr>
              <w:pStyle w:val="Normal"/>
              <w:snapToGrid w:val="false"/>
              <w:jc w:val="start"/>
              <w:rPr>
                <w:sz w:val="22"/>
              </w:rPr>
            </w:pPr>
            <w:r>
              <w:rPr>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start w:val="single" w:sz="4" w:space="0" w:color="000000"/>
            </w:tcBorders>
          </w:tcPr>
          <w:p>
            <w:pPr>
              <w:pStyle w:val="Normal"/>
              <w:jc w:val="start"/>
              <w:rPr>
                <w:sz w:val="22"/>
              </w:rPr>
            </w:pPr>
            <w:r>
              <w:rPr>
                <w:sz w:val="22"/>
              </w:rPr>
              <w:t>Other Investments</w:t>
            </w:r>
          </w:p>
        </w:tc>
        <w:tc>
          <w:tcPr>
            <w:tcW w:w="2340" w:type="dxa"/>
            <w:tcBorders>
              <w:end w:val="single" w:sz="4" w:space="0" w:color="000000"/>
            </w:tcBorders>
          </w:tcPr>
          <w:p>
            <w:pPr>
              <w:pStyle w:val="Normal"/>
              <w:jc w:val="center"/>
              <w:rPr>
                <w:sz w:val="22"/>
              </w:rPr>
            </w:pPr>
            <w:r>
              <w:rPr>
                <w:sz w:val="22"/>
              </w:rPr>
              <w:t>2,129</w:t>
            </w:r>
          </w:p>
        </w:tc>
      </w:tr>
      <w:tr>
        <w:trPr/>
        <w:tc>
          <w:tcPr>
            <w:tcW w:w="3870" w:type="dxa"/>
            <w:tcBorders>
              <w:start w:val="single" w:sz="4" w:space="0" w:color="000000"/>
            </w:tcBorders>
          </w:tcPr>
          <w:p>
            <w:pPr>
              <w:pStyle w:val="Normal"/>
              <w:jc w:val="start"/>
              <w:rPr>
                <w:sz w:val="22"/>
              </w:rPr>
            </w:pPr>
            <w:r>
              <w:rPr>
                <w:sz w:val="22"/>
              </w:rPr>
              <w:tab/>
              <w:t>Purchases of Meters for Rent</w:t>
            </w:r>
          </w:p>
        </w:tc>
        <w:tc>
          <w:tcPr>
            <w:tcW w:w="2340" w:type="dxa"/>
            <w:tcBorders>
              <w:end w:val="single" w:sz="4" w:space="0" w:color="000000"/>
            </w:tcBorders>
          </w:tcPr>
          <w:p>
            <w:pPr>
              <w:pStyle w:val="Normal"/>
              <w:jc w:val="center"/>
              <w:rPr>
                <w:sz w:val="22"/>
              </w:rPr>
            </w:pPr>
            <w:r>
              <w:rPr>
                <w:sz w:val="22"/>
              </w:rPr>
              <w:t>593</w:t>
            </w:r>
          </w:p>
        </w:tc>
      </w:tr>
      <w:tr>
        <w:trPr/>
        <w:tc>
          <w:tcPr>
            <w:tcW w:w="3870" w:type="dxa"/>
            <w:tcBorders>
              <w:start w:val="single" w:sz="4" w:space="0" w:color="000000"/>
            </w:tcBorders>
          </w:tcPr>
          <w:p>
            <w:pPr>
              <w:pStyle w:val="Normal"/>
              <w:jc w:val="start"/>
              <w:rPr>
                <w:sz w:val="22"/>
              </w:rPr>
            </w:pPr>
            <w:r>
              <w:rPr>
                <w:sz w:val="22"/>
              </w:rPr>
              <w:tab/>
              <w:t>Common Equipment</w:t>
            </w:r>
          </w:p>
        </w:tc>
        <w:tc>
          <w:tcPr>
            <w:tcW w:w="2340" w:type="dxa"/>
            <w:tcBorders>
              <w:end w:val="single" w:sz="4" w:space="0" w:color="000000"/>
            </w:tcBorders>
          </w:tcPr>
          <w:p>
            <w:pPr>
              <w:pStyle w:val="Normal"/>
              <w:jc w:val="center"/>
              <w:rPr>
                <w:sz w:val="22"/>
              </w:rPr>
            </w:pPr>
            <w:r>
              <w:rPr>
                <w:sz w:val="22"/>
              </w:rPr>
              <w:t>429</w:t>
            </w:r>
          </w:p>
        </w:tc>
      </w:tr>
      <w:tr>
        <w:trPr/>
        <w:tc>
          <w:tcPr>
            <w:tcW w:w="3870" w:type="dxa"/>
            <w:tcBorders>
              <w:start w:val="single" w:sz="4" w:space="0" w:color="000000"/>
            </w:tcBorders>
          </w:tcPr>
          <w:p>
            <w:pPr>
              <w:pStyle w:val="Normal"/>
              <w:jc w:val="start"/>
              <w:rPr>
                <w:sz w:val="22"/>
              </w:rPr>
            </w:pPr>
            <w:r>
              <w:rPr>
                <w:sz w:val="22"/>
              </w:rPr>
              <w:tab/>
              <w:t>Customer Services</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jc w:val="start"/>
              <w:rPr>
                <w:sz w:val="22"/>
              </w:rPr>
            </w:pPr>
            <w:r>
              <w:rPr>
                <w:sz w:val="22"/>
              </w:rPr>
              <w:tab/>
              <w:t>Land &amp; Buildings</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jc w:val="start"/>
              <w:rPr>
                <w:sz w:val="22"/>
              </w:rPr>
            </w:pPr>
            <w:r>
              <w:rPr>
                <w:sz w:val="22"/>
              </w:rPr>
              <w:tab/>
              <w:t>Equipment &amp; Machinery</w:t>
            </w:r>
          </w:p>
        </w:tc>
        <w:tc>
          <w:tcPr>
            <w:tcW w:w="2340" w:type="dxa"/>
            <w:tcBorders>
              <w:end w:val="single" w:sz="4" w:space="0" w:color="000000"/>
            </w:tcBorders>
          </w:tcPr>
          <w:p>
            <w:pPr>
              <w:pStyle w:val="Normal"/>
              <w:jc w:val="center"/>
              <w:rPr>
                <w:sz w:val="22"/>
              </w:rPr>
            </w:pPr>
            <w:r>
              <w:rPr>
                <w:sz w:val="22"/>
              </w:rPr>
              <w:t>883</w:t>
            </w:r>
          </w:p>
        </w:tc>
      </w:tr>
      <w:tr>
        <w:trPr/>
        <w:tc>
          <w:tcPr>
            <w:tcW w:w="3870" w:type="dxa"/>
            <w:tcBorders>
              <w:start w:val="single" w:sz="4" w:space="0" w:color="000000"/>
            </w:tcBorders>
          </w:tcPr>
          <w:p>
            <w:pPr>
              <w:pStyle w:val="Normal"/>
              <w:jc w:val="start"/>
              <w:rPr>
                <w:sz w:val="22"/>
              </w:rPr>
            </w:pPr>
            <w:r>
              <w:rPr>
                <w:sz w:val="22"/>
              </w:rPr>
              <w:tab/>
              <w:t>Information Processing Equipment</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jc w:val="start"/>
              <w:rPr>
                <w:sz w:val="22"/>
              </w:rPr>
            </w:pPr>
            <w:r>
              <w:rPr>
                <w:sz w:val="22"/>
              </w:rPr>
              <w:tab/>
              <w:t>Other</w:t>
            </w:r>
          </w:p>
        </w:tc>
        <w:tc>
          <w:tcPr>
            <w:tcW w:w="2340" w:type="dxa"/>
            <w:tcBorders>
              <w:end w:val="single" w:sz="4" w:space="0" w:color="000000"/>
            </w:tcBorders>
          </w:tcPr>
          <w:p>
            <w:pPr>
              <w:pStyle w:val="Normal"/>
              <w:jc w:val="center"/>
              <w:rPr>
                <w:sz w:val="22"/>
              </w:rPr>
            </w:pPr>
            <w:r>
              <w:rPr>
                <w:sz w:val="22"/>
              </w:rPr>
              <w:t>224</w:t>
            </w:r>
          </w:p>
        </w:tc>
      </w:tr>
      <w:tr>
        <w:trPr/>
        <w:tc>
          <w:tcPr>
            <w:tcW w:w="3870" w:type="dxa"/>
            <w:tcBorders>
              <w:start w:val="single" w:sz="4" w:space="0" w:color="000000"/>
            </w:tcBorders>
          </w:tcPr>
          <w:p>
            <w:pPr>
              <w:pStyle w:val="Normal"/>
              <w:snapToGrid w:val="false"/>
              <w:jc w:val="start"/>
              <w:rPr>
                <w:sz w:val="22"/>
              </w:rPr>
            </w:pPr>
            <w:r>
              <w:rPr>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start w:val="single" w:sz="4" w:space="0" w:color="000000"/>
            </w:tcBorders>
          </w:tcPr>
          <w:p>
            <w:pPr>
              <w:pStyle w:val="Normal"/>
              <w:jc w:val="start"/>
              <w:rPr>
                <w:sz w:val="22"/>
              </w:rPr>
            </w:pPr>
            <w:r>
              <w:rPr>
                <w:sz w:val="22"/>
              </w:rPr>
              <w:t>Information Technology</w:t>
            </w:r>
          </w:p>
        </w:tc>
        <w:tc>
          <w:tcPr>
            <w:tcW w:w="2340" w:type="dxa"/>
            <w:tcBorders>
              <w:end w:val="single" w:sz="4" w:space="0" w:color="000000"/>
            </w:tcBorders>
          </w:tcPr>
          <w:p>
            <w:pPr>
              <w:pStyle w:val="Normal"/>
              <w:jc w:val="center"/>
              <w:rPr>
                <w:sz w:val="22"/>
              </w:rPr>
            </w:pPr>
            <w:r>
              <w:rPr>
                <w:sz w:val="22"/>
              </w:rPr>
              <w:t>0</w:t>
            </w:r>
          </w:p>
        </w:tc>
      </w:tr>
      <w:tr>
        <w:trPr/>
        <w:tc>
          <w:tcPr>
            <w:tcW w:w="3870" w:type="dxa"/>
            <w:tcBorders>
              <w:start w:val="single" w:sz="4" w:space="0" w:color="000000"/>
            </w:tcBorders>
          </w:tcPr>
          <w:p>
            <w:pPr>
              <w:pStyle w:val="Normal"/>
              <w:snapToGrid w:val="false"/>
              <w:jc w:val="start"/>
              <w:rPr>
                <w:sz w:val="22"/>
              </w:rPr>
            </w:pPr>
            <w:r>
              <w:rPr>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start w:val="single" w:sz="4" w:space="0" w:color="000000"/>
            </w:tcBorders>
          </w:tcPr>
          <w:p>
            <w:pPr>
              <w:pStyle w:val="Normal"/>
              <w:jc w:val="start"/>
              <w:rPr>
                <w:sz w:val="22"/>
              </w:rPr>
            </w:pPr>
            <w:r>
              <w:rPr>
                <w:sz w:val="22"/>
              </w:rPr>
              <w:t>Conversions</w:t>
            </w:r>
          </w:p>
        </w:tc>
        <w:tc>
          <w:tcPr>
            <w:tcW w:w="2340" w:type="dxa"/>
            <w:tcBorders>
              <w:end w:val="single" w:sz="4" w:space="0" w:color="000000"/>
            </w:tcBorders>
          </w:tcPr>
          <w:p>
            <w:pPr>
              <w:pStyle w:val="Normal"/>
              <w:jc w:val="center"/>
              <w:rPr>
                <w:sz w:val="22"/>
              </w:rPr>
            </w:pPr>
            <w:r>
              <w:rPr>
                <w:sz w:val="22"/>
              </w:rPr>
              <w:t>989</w:t>
            </w:r>
          </w:p>
        </w:tc>
      </w:tr>
      <w:tr>
        <w:trPr/>
        <w:tc>
          <w:tcPr>
            <w:tcW w:w="3870" w:type="dxa"/>
            <w:tcBorders>
              <w:start w:val="single" w:sz="4" w:space="0" w:color="000000"/>
            </w:tcBorders>
          </w:tcPr>
          <w:p>
            <w:pPr>
              <w:pStyle w:val="Normal"/>
              <w:snapToGrid w:val="false"/>
              <w:jc w:val="start"/>
              <w:rPr>
                <w:sz w:val="22"/>
              </w:rPr>
            </w:pPr>
            <w:r>
              <w:rPr>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start w:val="single" w:sz="4" w:space="0" w:color="000000"/>
            </w:tcBorders>
          </w:tcPr>
          <w:p>
            <w:pPr>
              <w:pStyle w:val="Normal"/>
              <w:jc w:val="start"/>
              <w:rPr>
                <w:sz w:val="22"/>
              </w:rPr>
            </w:pPr>
            <w:r>
              <w:rPr>
                <w:sz w:val="22"/>
              </w:rPr>
              <w:t>Inspections</w:t>
            </w:r>
          </w:p>
        </w:tc>
        <w:tc>
          <w:tcPr>
            <w:tcW w:w="2340" w:type="dxa"/>
            <w:tcBorders>
              <w:end w:val="single" w:sz="4" w:space="0" w:color="000000"/>
            </w:tcBorders>
          </w:tcPr>
          <w:p>
            <w:pPr>
              <w:pStyle w:val="Normal"/>
              <w:jc w:val="center"/>
              <w:rPr>
                <w:sz w:val="22"/>
              </w:rPr>
            </w:pPr>
            <w:r>
              <w:rPr>
                <w:sz w:val="22"/>
              </w:rPr>
              <w:t>111</w:t>
            </w:r>
          </w:p>
        </w:tc>
      </w:tr>
      <w:tr>
        <w:trPr/>
        <w:tc>
          <w:tcPr>
            <w:tcW w:w="3870" w:type="dxa"/>
            <w:tcBorders>
              <w:start w:val="single" w:sz="4" w:space="0" w:color="000000"/>
            </w:tcBorders>
          </w:tcPr>
          <w:p>
            <w:pPr>
              <w:pStyle w:val="Normal"/>
              <w:snapToGrid w:val="false"/>
              <w:jc w:val="start"/>
              <w:rPr>
                <w:sz w:val="22"/>
              </w:rPr>
            </w:pPr>
            <w:r>
              <w:rPr>
                <w:sz w:val="22"/>
              </w:rPr>
            </w:r>
          </w:p>
        </w:tc>
        <w:tc>
          <w:tcPr>
            <w:tcW w:w="2340" w:type="dxa"/>
            <w:tcBorders>
              <w:end w:val="single" w:sz="4" w:space="0" w:color="000000"/>
            </w:tcBorders>
          </w:tcPr>
          <w:p>
            <w:pPr>
              <w:pStyle w:val="Normal"/>
              <w:snapToGrid w:val="false"/>
              <w:jc w:val="center"/>
              <w:rPr>
                <w:sz w:val="22"/>
              </w:rPr>
            </w:pPr>
            <w:r>
              <w:rPr>
                <w:sz w:val="22"/>
              </w:rPr>
            </w:r>
          </w:p>
        </w:tc>
      </w:tr>
      <w:tr>
        <w:trPr/>
        <w:tc>
          <w:tcPr>
            <w:tcW w:w="3870" w:type="dxa"/>
            <w:tcBorders>
              <w:start w:val="single" w:sz="4" w:space="0" w:color="000000"/>
              <w:bottom w:val="single" w:sz="4" w:space="0" w:color="000000"/>
            </w:tcBorders>
          </w:tcPr>
          <w:p>
            <w:pPr>
              <w:pStyle w:val="Normal"/>
              <w:rPr>
                <w:sz w:val="22"/>
              </w:rPr>
            </w:pPr>
            <w:r>
              <w:rPr>
                <w:sz w:val="22"/>
              </w:rPr>
              <w:t>New Installations</w:t>
            </w:r>
          </w:p>
        </w:tc>
        <w:tc>
          <w:tcPr>
            <w:tcW w:w="2340" w:type="dxa"/>
            <w:tcBorders>
              <w:bottom w:val="single" w:sz="4" w:space="0" w:color="000000"/>
              <w:end w:val="single" w:sz="4" w:space="0" w:color="000000"/>
            </w:tcBorders>
          </w:tcPr>
          <w:p>
            <w:pPr>
              <w:pStyle w:val="Normal"/>
              <w:jc w:val="center"/>
              <w:rPr>
                <w:sz w:val="22"/>
              </w:rPr>
            </w:pPr>
            <w:r>
              <w:rPr>
                <w:sz w:val="22"/>
              </w:rPr>
              <w:t>4,036</w:t>
            </w:r>
          </w:p>
        </w:tc>
      </w:tr>
      <w:tr>
        <w:trPr/>
        <w:tc>
          <w:tcPr>
            <w:tcW w:w="3870" w:type="dxa"/>
            <w:tcBorders>
              <w:start w:val="single" w:sz="4" w:space="0" w:color="000000"/>
              <w:bottom w:val="single" w:sz="4" w:space="0" w:color="000000"/>
            </w:tcBorders>
          </w:tcPr>
          <w:p>
            <w:pPr>
              <w:pStyle w:val="Normal"/>
              <w:rPr>
                <w:b/>
                <w:sz w:val="22"/>
              </w:rPr>
            </w:pPr>
            <w:r>
              <w:rPr>
                <w:b/>
                <w:sz w:val="22"/>
              </w:rPr>
              <w:t>Total</w:t>
            </w:r>
          </w:p>
        </w:tc>
        <w:tc>
          <w:tcPr>
            <w:tcW w:w="2340" w:type="dxa"/>
            <w:tcBorders>
              <w:bottom w:val="single" w:sz="4" w:space="0" w:color="000000"/>
              <w:end w:val="single" w:sz="4" w:space="0" w:color="000000"/>
            </w:tcBorders>
          </w:tcPr>
          <w:p>
            <w:pPr>
              <w:pStyle w:val="Normal"/>
              <w:jc w:val="center"/>
              <w:rPr>
                <w:b/>
                <w:sz w:val="22"/>
              </w:rPr>
            </w:pPr>
            <w:r>
              <w:rPr>
                <w:b/>
                <w:sz w:val="22"/>
              </w:rPr>
              <w:t>12,690</w:t>
            </w:r>
          </w:p>
        </w:tc>
      </w:tr>
    </w:tbl>
    <w:p>
      <w:pPr>
        <w:pStyle w:val="Normal"/>
        <w:ind w:hanging="720" w:start="720" w:end="0"/>
        <w:rPr/>
      </w:pPr>
      <w:r>
        <w:rPr/>
      </w:r>
    </w:p>
    <w:p>
      <w:pPr>
        <w:sectPr>
          <w:headerReference w:type="default" r:id="rId68"/>
          <w:headerReference w:type="first" r:id="rId69"/>
          <w:footerReference w:type="default" r:id="rId70"/>
          <w:footerReference w:type="first" r:id="rId71"/>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jc w:val="center"/>
        <w:rPr>
          <w:b/>
        </w:rPr>
      </w:pPr>
      <w:r>
        <w:rPr>
          <w:b/>
        </w:rPr>
      </w:r>
    </w:p>
    <w:p>
      <w:pPr>
        <w:pStyle w:val="Normal"/>
        <w:ind w:hanging="720" w:start="720" w:end="0"/>
        <w:jc w:val="center"/>
        <w:rPr>
          <w:b/>
        </w:rPr>
      </w:pPr>
      <w:r>
        <w:rPr>
          <w:b/>
        </w:rPr>
        <w:t>SCHEDULE 7.05</w:t>
      </w:r>
    </w:p>
    <w:p>
      <w:pPr>
        <w:pStyle w:val="Normal"/>
        <w:ind w:hanging="720" w:start="720" w:end="0"/>
        <w:jc w:val="center"/>
        <w:rPr>
          <w:b/>
        </w:rPr>
      </w:pPr>
      <w:r>
        <w:rPr>
          <w:b/>
        </w:rPr>
      </w:r>
    </w:p>
    <w:p>
      <w:pPr>
        <w:pStyle w:val="Normal"/>
        <w:ind w:hanging="720" w:start="720" w:end="0"/>
        <w:jc w:val="center"/>
        <w:rPr>
          <w:b/>
        </w:rPr>
      </w:pPr>
      <w:r>
        <w:rPr>
          <w:b/>
        </w:rPr>
        <w:t>RELATED PARTY CONTRACTS</w:t>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t>[To come.]</w:t>
      </w:r>
    </w:p>
    <w:sectPr>
      <w:headerReference w:type="default" r:id="rId72"/>
      <w:headerReference w:type="first" r:id="rId73"/>
      <w:footerReference w:type="default" r:id="rId74"/>
      <w:footerReference w:type="first" r:id="rId75"/>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Houston:284096 v 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b/>
        </w:rPr>
        <w:t>[Company to confirm translation of “desempulho.”]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CEG/RIO Draft</w:t>
    </w:r>
  </w:p>
  <w:p>
    <w:pPr>
      <w:pStyle w:val="Header"/>
      <w:jc w:val="end"/>
      <w:rPr>
        <w:b/>
      </w:rPr>
    </w:pPr>
    <w:r>
      <w:rPr>
        <w:b/>
      </w:rPr>
      <w:t>7/31/00</w:t>
    </w:r>
  </w:p>
  <w:p>
    <w:pPr>
      <w:pStyle w:val="Header"/>
      <w:jc w:val="end"/>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jc w:val="star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footnotes" Target="footnotes.xml"/><Relationship Id="rId77" Type="http://schemas.openxmlformats.org/officeDocument/2006/relationships/fontTable" Target="fontTable.xml"/><Relationship Id="rId78" Type="http://schemas.openxmlformats.org/officeDocument/2006/relationships/settings" Target="settings.xml"/><Relationship Id="rId7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2000-08-01T01:16:00Z</dcterms:created>
  <dc:creator>Vinson &amp; Elkins L.L.P.</dc:creator>
  <dc:description/>
  <dc:language>en-CA</dc:language>
  <cp:lastModifiedBy>Linda S. DiFeo</cp:lastModifiedBy>
  <cp:lastPrinted>2000-07-31T22:44:00Z</cp:lastPrinted>
  <dcterms:modified xsi:type="dcterms:W3CDTF">2000-08-01T01:16:00Z</dcterms:modified>
  <cp:revision>2</cp:revision>
  <dc:subject/>
  <dc:title>SCHEDULE 5</dc:title>
</cp:coreProperties>
</file>