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40address"/>
        <w:rPr/>
      </w:pPr>
      <w:r>
        <w:rPr/>
        <w:tab/>
        <w:tab/>
        <w:tab/>
        <w:tab/>
        <w:tab/>
        <w:t>RIO BRAVO III</w:t>
      </w:r>
    </w:p>
    <w:p>
      <w:pPr>
        <w:pStyle w:val="Normal"/>
        <w:numPr>
          <w:ilvl w:val="0"/>
          <w:numId w:val="9"/>
        </w:numPr>
        <w:tabs>
          <w:tab w:val="clear" w:pos="720"/>
          <w:tab w:val="left" w:pos="567" w:leader="none"/>
        </w:tabs>
        <w:ind w:hanging="283" w:start="567" w:end="0"/>
        <w:rPr>
          <w:sz w:val="20"/>
        </w:rPr>
      </w:pPr>
      <w:r>
        <w:rPr>
          <w:sz w:val="20"/>
        </w:rPr>
        <w:t xml:space="preserve">With the purpose of allowing more competition and openness to the international public biddings convoked by the Comisión Federal de Electricidad (the </w:t>
      </w:r>
      <w:r>
        <w:rPr>
          <w:i/>
          <w:sz w:val="20"/>
        </w:rPr>
        <w:t>Comisión</w:t>
      </w:r>
      <w:r>
        <w:rPr>
          <w:sz w:val="20"/>
        </w:rPr>
        <w:t xml:space="preserve">), to buy capacity and electric energy, and by institutions of the Secretaría de Energía, it will proceed to take bids on the Río Bravo III project (450MW +15%) under a new modality in which the bidders will have the freedom to choose, in a facultative way,  either the construction of a powerhouse in Mexico, under any modality of external energy production, on the terms of the Electric Energy Public Service Law (Ley del Servicio Público de Energía Eléctrica) or by an importation figure of electric energy for  public service made by the </w:t>
      </w:r>
      <w:r>
        <w:rPr>
          <w:i/>
          <w:sz w:val="20"/>
        </w:rPr>
        <w:t>Comisión</w:t>
      </w:r>
      <w:r>
        <w:rPr>
          <w:sz w:val="20"/>
        </w:rPr>
        <w:t xml:space="preserve">. </w:t>
      </w:r>
    </w:p>
    <w:p>
      <w:pPr>
        <w:pStyle w:val="Normal"/>
        <w:numPr>
          <w:ilvl w:val="0"/>
          <w:numId w:val="9"/>
        </w:numPr>
        <w:tabs>
          <w:tab w:val="clear" w:pos="720"/>
          <w:tab w:val="left" w:pos="567" w:leader="none"/>
        </w:tabs>
        <w:ind w:hanging="283" w:start="567" w:end="0"/>
        <w:rPr>
          <w:sz w:val="20"/>
        </w:rPr>
      </w:pPr>
      <w:r>
        <w:rPr>
          <w:sz w:val="20"/>
        </w:rPr>
        <w:t xml:space="preserve">The object of the bidding will be to supply to the </w:t>
      </w:r>
      <w:r>
        <w:rPr>
          <w:i/>
          <w:sz w:val="20"/>
        </w:rPr>
        <w:t>Comisión</w:t>
      </w:r>
      <w:r>
        <w:rPr>
          <w:sz w:val="20"/>
        </w:rPr>
        <w:t xml:space="preserve"> electric energy and capacity for a period of 25 years, beginning from the date of commercial operation or the first energy importation date that the </w:t>
      </w:r>
      <w:r>
        <w:rPr>
          <w:i/>
          <w:sz w:val="20"/>
        </w:rPr>
        <w:t>Comisión</w:t>
      </w:r>
      <w:r>
        <w:rPr>
          <w:sz w:val="20"/>
        </w:rPr>
        <w:t xml:space="preserve"> carries out. For this, the bidders will have the option of being an external energy producer or an exporter of electric energy or a combination of both.</w:t>
      </w:r>
    </w:p>
    <w:p>
      <w:pPr>
        <w:pStyle w:val="Normal"/>
        <w:numPr>
          <w:ilvl w:val="0"/>
          <w:numId w:val="9"/>
        </w:numPr>
        <w:tabs>
          <w:tab w:val="clear" w:pos="720"/>
          <w:tab w:val="left" w:pos="567" w:leader="none"/>
        </w:tabs>
        <w:ind w:hanging="283" w:start="567" w:end="0"/>
        <w:rPr>
          <w:sz w:val="20"/>
        </w:rPr>
      </w:pPr>
      <w:r>
        <w:rPr>
          <w:sz w:val="20"/>
        </w:rPr>
        <w:t>In all the cases that energy comes from powerhouses located out of the Mexican territory, it will be considered that the capacity and the supplied energy come from the importation figure of energy for the public service, under the terms of the Regulation of Electric Energy Public Service Law (Reglamento de la Ley del Servicio Público de Energía Eléctrica), and  it will not be considered as capacity and energy supplied by an external producer, even in the case of a “dedicated” powerhouse.</w:t>
      </w:r>
    </w:p>
    <w:p>
      <w:pPr>
        <w:pStyle w:val="Normal"/>
        <w:numPr>
          <w:ilvl w:val="0"/>
          <w:numId w:val="9"/>
        </w:numPr>
        <w:tabs>
          <w:tab w:val="clear" w:pos="720"/>
          <w:tab w:val="left" w:pos="567" w:leader="none"/>
        </w:tabs>
        <w:ind w:hanging="283" w:start="567" w:end="0"/>
        <w:rPr>
          <w:sz w:val="20"/>
        </w:rPr>
      </w:pPr>
      <w:r>
        <w:rPr>
          <w:sz w:val="20"/>
        </w:rPr>
        <w:t>All the technical specifications for the project will be the minimum necessary to let happen the implementation of the project.</w:t>
      </w:r>
    </w:p>
    <w:p>
      <w:pPr>
        <w:pStyle w:val="Normal"/>
        <w:numPr>
          <w:ilvl w:val="0"/>
          <w:numId w:val="9"/>
        </w:numPr>
        <w:tabs>
          <w:tab w:val="clear" w:pos="720"/>
          <w:tab w:val="left" w:pos="567" w:leader="none"/>
        </w:tabs>
        <w:ind w:hanging="283" w:start="567" w:end="0"/>
        <w:rPr>
          <w:sz w:val="20"/>
        </w:rPr>
      </w:pPr>
      <w:r>
        <w:rPr>
          <w:sz w:val="20"/>
        </w:rPr>
        <w:t xml:space="preserve">The bidders on their proposals must accredit that the capacity and the energy offered  will provide optimum stability, quality and security for the electric energy public service, benefits that the </w:t>
      </w:r>
      <w:r>
        <w:rPr>
          <w:i/>
          <w:sz w:val="20"/>
        </w:rPr>
        <w:t>Comisión</w:t>
      </w:r>
      <w:r>
        <w:rPr>
          <w:sz w:val="20"/>
        </w:rPr>
        <w:t xml:space="preserve">  has entrust on the established terms by the ninth article  of the Electric Energy Public Service Law (Ley del Servicio Público de Energía Eléctrica) . </w:t>
      </w:r>
    </w:p>
    <w:p>
      <w:pPr>
        <w:pStyle w:val="Normal"/>
        <w:numPr>
          <w:ilvl w:val="0"/>
          <w:numId w:val="9"/>
        </w:numPr>
        <w:tabs>
          <w:tab w:val="clear" w:pos="720"/>
          <w:tab w:val="left" w:pos="567" w:leader="none"/>
        </w:tabs>
        <w:ind w:hanging="283" w:start="567" w:end="0"/>
        <w:rPr>
          <w:sz w:val="20"/>
        </w:rPr>
      </w:pPr>
      <w:r>
        <w:rPr>
          <w:sz w:val="20"/>
        </w:rPr>
        <w:t xml:space="preserve">The bidding bases of the project will have two types of contract model. One of them  under the modality of foreign or external energy producer that will be subscribed in the case that the bidder chooses to build a powerhouse in Mexico, under the terms of the twelfth section of the of the  Regulation of Electric Energy Public Service Law (Reglamento de la Ley del Servicio Público de Energía Eléctrica). The other one is a contract model of electric energy importation for public service that comes  from the </w:t>
      </w:r>
      <w:r>
        <w:rPr>
          <w:i/>
          <w:sz w:val="20"/>
        </w:rPr>
        <w:t>Comisión</w:t>
      </w:r>
      <w:r>
        <w:rPr>
          <w:sz w:val="20"/>
        </w:rPr>
        <w:t xml:space="preserve">  under the terms of the ninth article of the Electric Energy Public Service Law</w:t>
      </w:r>
      <w:r>
        <w:rPr>
          <w:i/>
          <w:sz w:val="20"/>
        </w:rPr>
        <w:t xml:space="preserve"> </w:t>
      </w:r>
      <w:r>
        <w:rPr>
          <w:sz w:val="20"/>
        </w:rPr>
        <w:t>(Ley del Servicio Público de Energía Eléctrica) and the seventh article of its  regulation.</w:t>
      </w:r>
    </w:p>
    <w:p>
      <w:pPr>
        <w:pStyle w:val="Normal"/>
        <w:numPr>
          <w:ilvl w:val="0"/>
          <w:numId w:val="9"/>
        </w:numPr>
        <w:tabs>
          <w:tab w:val="clear" w:pos="720"/>
          <w:tab w:val="left" w:pos="567" w:leader="none"/>
        </w:tabs>
        <w:ind w:hanging="283" w:start="567" w:end="0"/>
        <w:rPr>
          <w:sz w:val="20"/>
        </w:rPr>
      </w:pPr>
      <w:r>
        <w:rPr>
          <w:rFonts w:eastAsia="Palatino"/>
          <w:sz w:val="20"/>
        </w:rPr>
        <w:t xml:space="preserve"> </w:t>
      </w:r>
      <w:r>
        <w:rPr>
          <w:sz w:val="20"/>
        </w:rPr>
        <w:t>In order to fulfill the above mentioned, the bidder must accredit that the realization of the project is achievable, on the terms established in the Bidding Bases and to do so an exporter or trader must probe that it has the possibility to enter into a contract for the associated buying of capacity on firm and electric energy in the long term. In case that the bidder chooses the construction of a powerhouse in Mexico, he must accredit that he has constructing and operating experience and he has to give the main specifications of the design, construction, equipment, prototype proofs, life time and features of the facilities that he plans to build, on the understanding that it could be any kind of powerhouse, whether in a combined cycle, turbogas, carboelectric, diesel or any other kind of proven technology. The only limitation is that it cannot be energy that proceeds from a nucleo-electric powerhouse.</w:t>
      </w:r>
    </w:p>
    <w:p>
      <w:pPr>
        <w:pStyle w:val="Normal"/>
        <w:numPr>
          <w:ilvl w:val="0"/>
          <w:numId w:val="9"/>
        </w:numPr>
        <w:tabs>
          <w:tab w:val="clear" w:pos="720"/>
          <w:tab w:val="left" w:pos="567" w:leader="none"/>
        </w:tabs>
        <w:ind w:hanging="283" w:start="567" w:end="0"/>
        <w:rPr>
          <w:sz w:val="20"/>
        </w:rPr>
      </w:pPr>
      <w:r>
        <w:rPr>
          <w:sz w:val="20"/>
        </w:rPr>
        <w:t>Energy must be supplied at the interconnection points established on the bidding bases for which, in its case, must proceed to the construction of the transmission and transformation facilities that are required for the transportation of electric energy to that interconnection point, on the understanding that the electric system interconnections to the USA should be asynchronous, except in the case of an isolated terminal of the main electric system.</w:t>
      </w:r>
    </w:p>
    <w:p>
      <w:pPr>
        <w:pStyle w:val="Normal"/>
        <w:numPr>
          <w:ilvl w:val="0"/>
          <w:numId w:val="9"/>
        </w:numPr>
        <w:tabs>
          <w:tab w:val="clear" w:pos="720"/>
          <w:tab w:val="left" w:pos="567" w:leader="none"/>
        </w:tabs>
        <w:ind w:hanging="283" w:start="567" w:end="0"/>
        <w:rPr>
          <w:sz w:val="20"/>
        </w:rPr>
      </w:pPr>
      <w:r>
        <w:rPr>
          <w:sz w:val="20"/>
        </w:rPr>
        <w:t>The interconnection points will be located in the Matamoros-Reynosa corridor.</w:t>
      </w:r>
    </w:p>
    <w:p>
      <w:pPr>
        <w:pStyle w:val="Normal"/>
        <w:numPr>
          <w:ilvl w:val="0"/>
          <w:numId w:val="9"/>
        </w:numPr>
        <w:tabs>
          <w:tab w:val="clear" w:pos="720"/>
          <w:tab w:val="left" w:pos="567" w:leader="none"/>
        </w:tabs>
        <w:ind w:hanging="283" w:start="567" w:end="0"/>
        <w:rPr>
          <w:sz w:val="20"/>
        </w:rPr>
      </w:pPr>
      <w:r>
        <w:rPr>
          <w:sz w:val="20"/>
        </w:rPr>
        <w:t>For all forms of reception in the interconnection points, it is required an Average Availability Warranty of more than 90 per cent. The previously mentioned includes maintenance and non-scheduled shutdowns.</w:t>
      </w:r>
    </w:p>
    <w:p>
      <w:pPr>
        <w:pStyle w:val="Normal"/>
        <w:numPr>
          <w:ilvl w:val="0"/>
          <w:numId w:val="9"/>
        </w:numPr>
        <w:tabs>
          <w:tab w:val="clear" w:pos="720"/>
          <w:tab w:val="left" w:pos="567" w:leader="none"/>
        </w:tabs>
        <w:ind w:hanging="283" w:start="567" w:end="0"/>
        <w:rPr>
          <w:sz w:val="20"/>
        </w:rPr>
      </w:pPr>
      <w:r>
        <w:rPr>
          <w:sz w:val="20"/>
        </w:rPr>
        <w:t xml:space="preserve">Every bidder will have the freedom to choose the place where he plans to build his facilities (either the powerhouse or the transmission facilities or the transformation facilities or the fuel supply systems) for which he should proceed to obtain the required rights of way for the construction. The </w:t>
      </w:r>
      <w:r>
        <w:rPr>
          <w:i/>
          <w:sz w:val="20"/>
        </w:rPr>
        <w:t>Comisión</w:t>
      </w:r>
      <w:r>
        <w:rPr>
          <w:sz w:val="20"/>
        </w:rPr>
        <w:t xml:space="preserve"> will provide help to the successful bidder to obtain the required rights of way in Mexico, on the understanding that none of the successful bidder obligations under the contract will be subject to his capability to obtain the site and the real state rights.</w:t>
      </w:r>
    </w:p>
    <w:p>
      <w:pPr>
        <w:pStyle w:val="Normal"/>
        <w:numPr>
          <w:ilvl w:val="0"/>
          <w:numId w:val="9"/>
        </w:numPr>
        <w:tabs>
          <w:tab w:val="clear" w:pos="720"/>
          <w:tab w:val="left" w:pos="567" w:leader="none"/>
        </w:tabs>
        <w:ind w:hanging="283" w:start="567" w:end="0"/>
        <w:rPr>
          <w:sz w:val="20"/>
        </w:rPr>
      </w:pPr>
      <w:r>
        <w:rPr>
          <w:sz w:val="20"/>
        </w:rPr>
        <w:t>The bidders should make their own arrangements to supply and transport fuel to the powerhouse, and, when applicable, to proceed to build the necessary infrastructure.</w:t>
      </w:r>
    </w:p>
    <w:p>
      <w:pPr>
        <w:pStyle w:val="Normal"/>
        <w:numPr>
          <w:ilvl w:val="0"/>
          <w:numId w:val="9"/>
        </w:numPr>
        <w:tabs>
          <w:tab w:val="clear" w:pos="720"/>
          <w:tab w:val="left" w:pos="567" w:leader="none"/>
        </w:tabs>
        <w:ind w:hanging="283" w:start="567" w:end="0"/>
        <w:rPr>
          <w:sz w:val="20"/>
        </w:rPr>
      </w:pPr>
      <w:r>
        <w:rPr>
          <w:sz w:val="20"/>
        </w:rPr>
        <w:t xml:space="preserve">During the bidding process the </w:t>
      </w:r>
      <w:r>
        <w:rPr>
          <w:i/>
          <w:sz w:val="20"/>
        </w:rPr>
        <w:t>Comisión</w:t>
      </w:r>
      <w:r>
        <w:rPr>
          <w:sz w:val="20"/>
        </w:rPr>
        <w:t xml:space="preserve"> will organize guided visits to the interconnection points, understanding as such those interconnection points where the producer/supplier transmission system could be interconnected to the national electric system.</w:t>
      </w:r>
    </w:p>
    <w:p>
      <w:pPr>
        <w:pStyle w:val="Normal"/>
        <w:numPr>
          <w:ilvl w:val="0"/>
          <w:numId w:val="9"/>
        </w:numPr>
        <w:tabs>
          <w:tab w:val="clear" w:pos="720"/>
          <w:tab w:val="left" w:pos="567" w:leader="none"/>
        </w:tabs>
        <w:ind w:hanging="283" w:start="567" w:end="0"/>
        <w:rPr>
          <w:sz w:val="20"/>
        </w:rPr>
      </w:pPr>
      <w:r>
        <w:rPr>
          <w:sz w:val="20"/>
        </w:rPr>
        <w:t>Whichever be their type of proposal, the bidders should present a seriousness covenants of the proposal for the sum of US$10,000,000 (ten million dollars).</w:t>
      </w:r>
    </w:p>
    <w:p>
      <w:pPr>
        <w:pStyle w:val="Normal"/>
        <w:numPr>
          <w:ilvl w:val="0"/>
          <w:numId w:val="9"/>
        </w:numPr>
        <w:tabs>
          <w:tab w:val="clear" w:pos="720"/>
          <w:tab w:val="left" w:pos="567" w:leader="none"/>
        </w:tabs>
        <w:ind w:hanging="283" w:start="567" w:end="0"/>
        <w:rPr>
          <w:sz w:val="20"/>
        </w:rPr>
      </w:pPr>
      <w:r>
        <w:rPr>
          <w:sz w:val="20"/>
        </w:rPr>
        <w:t xml:space="preserve">The bidders will be responsible to obtain the authorization in regard of environmental impact, export permits, construction permits or any other that could be required for implementation of the project, and the electric energy supply in the interconnection point. The </w:t>
      </w:r>
      <w:r>
        <w:rPr>
          <w:i/>
          <w:sz w:val="20"/>
        </w:rPr>
        <w:t>Comisión</w:t>
      </w:r>
      <w:r>
        <w:rPr>
          <w:sz w:val="20"/>
        </w:rPr>
        <w:t xml:space="preserve"> will make its best effort to help the successful bidder to obtain the permits in Mexico, and it will also be responsible to obtain the energy importation permits for public service, when applicable. As far as the importer/supplier concerns, he will be responsible to obtain any other necessary permit for the implementation of the project.</w:t>
      </w:r>
    </w:p>
    <w:p>
      <w:pPr>
        <w:pStyle w:val="Normal"/>
        <w:numPr>
          <w:ilvl w:val="0"/>
          <w:numId w:val="9"/>
        </w:numPr>
        <w:tabs>
          <w:tab w:val="clear" w:pos="720"/>
          <w:tab w:val="left" w:pos="567" w:leader="none"/>
        </w:tabs>
        <w:ind w:hanging="283" w:start="567" w:end="0"/>
        <w:rPr>
          <w:sz w:val="20"/>
        </w:rPr>
      </w:pPr>
      <w:r>
        <w:rPr>
          <w:sz w:val="20"/>
        </w:rPr>
        <w:t xml:space="preserve">The </w:t>
      </w:r>
      <w:r>
        <w:rPr>
          <w:i/>
          <w:sz w:val="20"/>
        </w:rPr>
        <w:t>Comisión</w:t>
      </w:r>
      <w:r>
        <w:rPr>
          <w:sz w:val="20"/>
        </w:rPr>
        <w:t xml:space="preserve"> will establish on the bidding bases the critical dates that the successful bidder should reach and the corresponding penalties for not reaching these dates. The penalties will be similar to the external energy producer and the electric energy exporter. In case of a combination of options, there could apply the foreseen penalties on both alternatives for failure of accomplishing those dates.</w:t>
      </w:r>
    </w:p>
    <w:p>
      <w:pPr>
        <w:pStyle w:val="Normal"/>
        <w:numPr>
          <w:ilvl w:val="0"/>
          <w:numId w:val="9"/>
        </w:numPr>
        <w:tabs>
          <w:tab w:val="clear" w:pos="720"/>
          <w:tab w:val="left" w:pos="567" w:leader="none"/>
        </w:tabs>
        <w:ind w:hanging="283" w:start="567" w:end="0"/>
        <w:rPr>
          <w:sz w:val="20"/>
        </w:rPr>
      </w:pPr>
      <w:r>
        <w:rPr>
          <w:sz w:val="20"/>
        </w:rPr>
        <w:t>An importer/supplier of electric energy under the importation figure for public services should present preoperating and operating warranties for a sum larger than the urged for the external energy producers.</w:t>
      </w:r>
    </w:p>
    <w:p>
      <w:pPr>
        <w:pStyle w:val="Normal"/>
        <w:numPr>
          <w:ilvl w:val="0"/>
          <w:numId w:val="9"/>
        </w:numPr>
        <w:tabs>
          <w:tab w:val="clear" w:pos="720"/>
          <w:tab w:val="left" w:pos="567" w:leader="none"/>
        </w:tabs>
        <w:ind w:hanging="283" w:start="567" w:end="0"/>
        <w:rPr>
          <w:sz w:val="20"/>
        </w:rPr>
      </w:pPr>
      <w:r>
        <w:rPr>
          <w:sz w:val="20"/>
        </w:rPr>
        <w:t>Regarding external energy production projects, the bidders should take into account that at least 25 per cent of the total engineering, supply and constructing costs should be Mexican in origin.</w:t>
      </w:r>
    </w:p>
    <w:p>
      <w:pPr>
        <w:pStyle w:val="Normal"/>
        <w:numPr>
          <w:ilvl w:val="0"/>
          <w:numId w:val="9"/>
        </w:numPr>
        <w:tabs>
          <w:tab w:val="clear" w:pos="720"/>
          <w:tab w:val="left" w:pos="567" w:leader="none"/>
        </w:tabs>
        <w:ind w:hanging="283" w:start="567" w:end="0"/>
        <w:rPr>
          <w:sz w:val="20"/>
        </w:rPr>
      </w:pPr>
      <w:r>
        <w:rPr>
          <w:sz w:val="20"/>
        </w:rPr>
        <w:t>In case of choosing to be an external energy producer, the bidder should consider that the collective labor relations must be agreed with SUTERM.</w:t>
      </w:r>
    </w:p>
    <w:p>
      <w:pPr>
        <w:pStyle w:val="Normal"/>
        <w:numPr>
          <w:ilvl w:val="0"/>
          <w:numId w:val="9"/>
        </w:numPr>
        <w:tabs>
          <w:tab w:val="clear" w:pos="720"/>
          <w:tab w:val="left" w:pos="567" w:leader="none"/>
        </w:tabs>
        <w:ind w:hanging="283" w:start="567" w:end="0"/>
        <w:rPr>
          <w:sz w:val="20"/>
        </w:rPr>
      </w:pPr>
      <w:r>
        <w:rPr>
          <w:sz w:val="20"/>
        </w:rPr>
        <w:t xml:space="preserve">The external energy producers will be free to build a powerhouse with the </w:t>
      </w:r>
      <w:r>
        <w:rPr>
          <w:i/>
          <w:sz w:val="20"/>
        </w:rPr>
        <w:t>Comisión</w:t>
      </w:r>
      <w:r>
        <w:rPr>
          <w:sz w:val="20"/>
        </w:rPr>
        <w:t>’s required capacity or to build excessive capacity assigned to self supply modalities, cogeneration or any other considered by the Applicable Laws. Likewise, a supplier could import in excess capacity for own use in the terms of the Electric Energy Public Service Law (Ley del Servicio Público de Energía Eléctrica).</w:t>
      </w:r>
    </w:p>
    <w:p>
      <w:pPr>
        <w:pStyle w:val="Normal"/>
        <w:numPr>
          <w:ilvl w:val="0"/>
          <w:numId w:val="9"/>
        </w:numPr>
        <w:tabs>
          <w:tab w:val="clear" w:pos="720"/>
          <w:tab w:val="left" w:pos="567" w:leader="none"/>
        </w:tabs>
        <w:ind w:hanging="283" w:start="567" w:end="0"/>
        <w:rPr>
          <w:sz w:val="20"/>
        </w:rPr>
      </w:pPr>
      <w:r>
        <w:rPr>
          <w:sz w:val="20"/>
        </w:rPr>
        <w:t>The seriousness covenant of the proposal will be effective on the following cases:</w:t>
      </w:r>
    </w:p>
    <w:p>
      <w:pPr>
        <w:pStyle w:val="Normal"/>
        <w:numPr>
          <w:ilvl w:val="0"/>
          <w:numId w:val="15"/>
        </w:numPr>
        <w:tabs>
          <w:tab w:val="clear" w:pos="720"/>
          <w:tab w:val="left" w:pos="851" w:leader="none"/>
        </w:tabs>
        <w:ind w:hanging="284" w:start="851" w:end="0"/>
        <w:rPr>
          <w:sz w:val="20"/>
        </w:rPr>
      </w:pPr>
      <w:r>
        <w:rPr>
          <w:sz w:val="20"/>
        </w:rPr>
        <w:t>The bidder withdraw his proposal on the period of time where it should be in use,</w:t>
      </w:r>
    </w:p>
    <w:p>
      <w:pPr>
        <w:pStyle w:val="Normal"/>
        <w:numPr>
          <w:ilvl w:val="0"/>
          <w:numId w:val="15"/>
        </w:numPr>
        <w:tabs>
          <w:tab w:val="clear" w:pos="720"/>
          <w:tab w:val="left" w:pos="851" w:leader="none"/>
        </w:tabs>
        <w:ind w:hanging="284" w:start="851" w:end="0"/>
        <w:rPr>
          <w:sz w:val="20"/>
        </w:rPr>
      </w:pPr>
      <w:r>
        <w:rPr>
          <w:sz w:val="20"/>
        </w:rPr>
        <w:t xml:space="preserve">Because of failure of the external energy producer on appointing the specific purpose association that would subscribe the contract with the </w:t>
      </w:r>
      <w:r>
        <w:rPr>
          <w:i/>
          <w:sz w:val="20"/>
        </w:rPr>
        <w:t>Comisión</w:t>
      </w:r>
      <w:r>
        <w:rPr>
          <w:sz w:val="20"/>
        </w:rPr>
        <w:t xml:space="preserve">, unless such impossibility derives from reasons imputable the </w:t>
      </w:r>
      <w:r>
        <w:rPr>
          <w:i/>
          <w:sz w:val="20"/>
        </w:rPr>
        <w:t>Comisión</w:t>
      </w:r>
      <w:r>
        <w:rPr>
          <w:sz w:val="20"/>
        </w:rPr>
        <w:t>,</w:t>
      </w:r>
    </w:p>
    <w:p>
      <w:pPr>
        <w:pStyle w:val="Normal"/>
        <w:numPr>
          <w:ilvl w:val="0"/>
          <w:numId w:val="15"/>
        </w:numPr>
        <w:tabs>
          <w:tab w:val="clear" w:pos="720"/>
          <w:tab w:val="left" w:pos="851" w:leader="none"/>
        </w:tabs>
        <w:ind w:hanging="284" w:start="851" w:end="0"/>
        <w:rPr>
          <w:sz w:val="20"/>
        </w:rPr>
      </w:pPr>
      <w:r>
        <w:rPr>
          <w:sz w:val="20"/>
        </w:rPr>
        <w:t>In case that the successful bidder does not sign the contract at or before the prestablished date for such effect on the bidding bases,</w:t>
      </w:r>
    </w:p>
    <w:p>
      <w:pPr>
        <w:pStyle w:val="Normal"/>
        <w:numPr>
          <w:ilvl w:val="0"/>
          <w:numId w:val="15"/>
        </w:numPr>
        <w:tabs>
          <w:tab w:val="clear" w:pos="720"/>
          <w:tab w:val="left" w:pos="851" w:leader="none"/>
        </w:tabs>
        <w:ind w:hanging="284" w:start="851" w:end="0"/>
        <w:rPr>
          <w:sz w:val="20"/>
        </w:rPr>
      </w:pPr>
      <w:r>
        <w:rPr>
          <w:sz w:val="20"/>
        </w:rPr>
        <w:t>In case that the successful bidder does not constitute the preoperating warranty.</w:t>
      </w:r>
    </w:p>
    <w:p>
      <w:pPr>
        <w:pStyle w:val="Normal"/>
        <w:numPr>
          <w:ilvl w:val="0"/>
          <w:numId w:val="19"/>
        </w:numPr>
        <w:tabs>
          <w:tab w:val="clear" w:pos="720"/>
          <w:tab w:val="left" w:pos="567" w:leader="none"/>
        </w:tabs>
        <w:ind w:hanging="283" w:start="567" w:end="0"/>
        <w:rPr>
          <w:sz w:val="20"/>
        </w:rPr>
      </w:pPr>
      <w:r>
        <w:rPr>
          <w:sz w:val="20"/>
        </w:rPr>
        <w:t xml:space="preserve">In case that the bidder chooses to be an external energy producer, he should give to the </w:t>
      </w:r>
      <w:r>
        <w:rPr>
          <w:i/>
          <w:sz w:val="20"/>
        </w:rPr>
        <w:t>Comisión</w:t>
      </w:r>
      <w:r>
        <w:rPr>
          <w:sz w:val="20"/>
        </w:rPr>
        <w:t>, in the act of reception of proposals and opening of technical proposals, a closed envelope with the technical application for the permit of external energy producer, the same that will be delivered to the Comisión Reguladora de Energía (CRE) for its filling. Speaking of the import figure, the bidder should show supporting reasons for considering that he will obtain all the permits for exporting energy to Mexico.</w:t>
      </w:r>
    </w:p>
    <w:p>
      <w:pPr>
        <w:pStyle w:val="Normal"/>
        <w:numPr>
          <w:ilvl w:val="0"/>
          <w:numId w:val="19"/>
        </w:numPr>
        <w:tabs>
          <w:tab w:val="clear" w:pos="720"/>
          <w:tab w:val="left" w:pos="567" w:leader="none"/>
        </w:tabs>
        <w:ind w:hanging="283" w:start="567" w:end="0"/>
        <w:rPr>
          <w:sz w:val="20"/>
        </w:rPr>
      </w:pPr>
      <w:r>
        <w:rPr>
          <w:sz w:val="20"/>
        </w:rPr>
        <w:t xml:space="preserve">Speaking of external energy producers, on the date established for the opening of the economic proposals the bidders should deliver to the </w:t>
      </w:r>
      <w:r>
        <w:rPr>
          <w:i/>
          <w:sz w:val="20"/>
        </w:rPr>
        <w:t>Comisión</w:t>
      </w:r>
      <w:r>
        <w:rPr>
          <w:sz w:val="20"/>
        </w:rPr>
        <w:t xml:space="preserve"> the written record issued by CRE showing the acceptance of the permit application by the Comisión de Energía.</w:t>
      </w:r>
    </w:p>
    <w:p>
      <w:pPr>
        <w:pStyle w:val="Normal"/>
        <w:numPr>
          <w:ilvl w:val="0"/>
          <w:numId w:val="19"/>
        </w:numPr>
        <w:tabs>
          <w:tab w:val="clear" w:pos="720"/>
          <w:tab w:val="left" w:pos="567" w:leader="none"/>
        </w:tabs>
        <w:ind w:hanging="283" w:start="567" w:end="0"/>
        <w:rPr>
          <w:sz w:val="20"/>
        </w:rPr>
      </w:pPr>
      <w:r>
        <w:rPr>
          <w:sz w:val="20"/>
        </w:rPr>
        <w:t xml:space="preserve">During the evaluation period of the proposals, it will proceed to verify the feasibility of realization of the project, and that the bidder’s warranted net capacity is within the limits established by the </w:t>
      </w:r>
      <w:r>
        <w:rPr>
          <w:i/>
          <w:sz w:val="20"/>
        </w:rPr>
        <w:t xml:space="preserve">Comisión. </w:t>
      </w:r>
      <w:r>
        <w:rPr>
          <w:sz w:val="20"/>
        </w:rPr>
        <w:t xml:space="preserve">Likewise, it will be verified that the technology or the energy marketing offered by the bidder, whichever is the case, fulfills the experience requirements asked by the </w:t>
      </w:r>
      <w:r>
        <w:rPr>
          <w:i/>
          <w:sz w:val="20"/>
        </w:rPr>
        <w:t>Comisión</w:t>
      </w:r>
      <w:r>
        <w:rPr>
          <w:sz w:val="20"/>
        </w:rPr>
        <w:t xml:space="preserve"> and that, in such a case, includes all the information from the selected sites accrediting its suitability for the construction of the powerhouse, on the understanding that the bidder will not have to accredit its acquisition. The non obtainment of it or of the permits by the successful bidder will not cause the deferral of the critical dates, and will not be considered as a fortuitous act nor as a force majeure act.</w:t>
      </w:r>
    </w:p>
    <w:p>
      <w:pPr>
        <w:pStyle w:val="Normal"/>
        <w:numPr>
          <w:ilvl w:val="0"/>
          <w:numId w:val="19"/>
        </w:numPr>
        <w:tabs>
          <w:tab w:val="clear" w:pos="720"/>
          <w:tab w:val="left" w:pos="567" w:leader="none"/>
        </w:tabs>
        <w:ind w:hanging="283" w:start="567" w:end="0"/>
        <w:rPr>
          <w:sz w:val="20"/>
        </w:rPr>
      </w:pPr>
      <w:r>
        <w:rPr>
          <w:sz w:val="20"/>
        </w:rPr>
        <w:t>The energy suppliers under the importation figure for public service should accredit that they have proven experience in electric energy marketing contracts for an accumulated minimum of 2,000 MW within the last ten years prior to the submission of their proposal.</w:t>
      </w:r>
    </w:p>
    <w:p>
      <w:pPr>
        <w:pStyle w:val="Normal"/>
        <w:numPr>
          <w:ilvl w:val="0"/>
          <w:numId w:val="19"/>
        </w:numPr>
        <w:tabs>
          <w:tab w:val="clear" w:pos="720"/>
          <w:tab w:val="left" w:pos="567" w:leader="none"/>
        </w:tabs>
        <w:ind w:hanging="283" w:start="567" w:end="0"/>
        <w:rPr>
          <w:sz w:val="20"/>
        </w:rPr>
      </w:pPr>
      <w:r>
        <w:rPr>
          <w:sz w:val="20"/>
        </w:rPr>
        <w:t xml:space="preserve">The </w:t>
      </w:r>
      <w:r>
        <w:rPr>
          <w:i/>
          <w:sz w:val="20"/>
        </w:rPr>
        <w:t>Comisión</w:t>
      </w:r>
      <w:r>
        <w:rPr>
          <w:sz w:val="20"/>
        </w:rPr>
        <w:t xml:space="preserve"> will adjudicate the Contract in favor of the bidder that has fulfilled all the requirements to participate in the Bidding, that assembled the legal, economical, financial and technical conditions required by the Comisión, and that satisfactory guaranties the fulfillment of the obligations derived from the Contract, offering the lowest graded price of generation.</w:t>
      </w:r>
    </w:p>
    <w:p>
      <w:pPr>
        <w:pStyle w:val="Normal"/>
        <w:ind w:start="284" w:end="0"/>
        <w:rPr>
          <w:sz w:val="20"/>
        </w:rPr>
      </w:pPr>
      <w:r>
        <w:rPr>
          <w:sz w:val="20"/>
        </w:rPr>
      </w:r>
    </w:p>
    <w:p>
      <w:pPr>
        <w:pStyle w:val="Normal"/>
        <w:ind w:start="284" w:end="0"/>
        <w:rPr>
          <w:sz w:val="20"/>
        </w:rPr>
      </w:pPr>
      <w:r>
        <w:rPr>
          <w:sz w:val="20"/>
        </w:rPr>
      </w:r>
    </w:p>
    <w:p>
      <w:pPr>
        <w:pStyle w:val="Normal"/>
        <w:ind w:start="284" w:end="0"/>
        <w:rPr>
          <w:sz w:val="20"/>
        </w:rPr>
      </w:pPr>
      <w:r>
        <w:rPr>
          <w:sz w:val="20"/>
        </w:rPr>
      </w:r>
    </w:p>
    <w:p>
      <w:pPr>
        <w:pStyle w:val="Normal"/>
        <w:numPr>
          <w:ilvl w:val="0"/>
          <w:numId w:val="19"/>
        </w:numPr>
        <w:tabs>
          <w:tab w:val="clear" w:pos="720"/>
          <w:tab w:val="left" w:pos="567" w:leader="none"/>
        </w:tabs>
        <w:ind w:hanging="283" w:start="567" w:end="0"/>
        <w:rPr>
          <w:sz w:val="20"/>
        </w:rPr>
      </w:pPr>
      <w:r>
        <w:rPr>
          <w:sz w:val="20"/>
        </w:rPr>
        <w:t>The bidders that choose to make the project under any of the external energy production modality should accredit being the main responsible of making, directing or hiring a company to accomplish the activities mentioned before, such as engineering, construction, supply, operations, maintenance, etc. of generation plants of at least 200 MW, or energy marketing within the last ten years prior to the submission of their proposal and that currently are in commercial operation.</w:t>
      </w:r>
    </w:p>
    <w:p>
      <w:pPr>
        <w:pStyle w:val="Normal"/>
        <w:numPr>
          <w:ilvl w:val="0"/>
          <w:numId w:val="19"/>
        </w:numPr>
        <w:tabs>
          <w:tab w:val="clear" w:pos="720"/>
          <w:tab w:val="left" w:pos="567" w:leader="none"/>
        </w:tabs>
        <w:ind w:hanging="283" w:start="567" w:end="0"/>
        <w:rPr>
          <w:sz w:val="20"/>
        </w:rPr>
      </w:pPr>
      <w:r>
        <w:rPr>
          <w:sz w:val="20"/>
        </w:rPr>
        <w:t>The bidders should accredit a minimum shareholders equity of $1,000,000,000 (one thousand million Mexican pesos) or its equivalent in any other currency, submitting  financial statements audited by an external auditor, corresponding to the last two fiscal years previous to the submission of the proposal.</w:t>
      </w:r>
    </w:p>
    <w:p>
      <w:pPr>
        <w:pStyle w:val="Normal"/>
        <w:numPr>
          <w:ilvl w:val="0"/>
          <w:numId w:val="19"/>
        </w:numPr>
        <w:tabs>
          <w:tab w:val="clear" w:pos="720"/>
          <w:tab w:val="left" w:pos="567" w:leader="none"/>
        </w:tabs>
        <w:ind w:hanging="283" w:start="567" w:end="0"/>
        <w:rPr>
          <w:sz w:val="20"/>
        </w:rPr>
      </w:pPr>
      <w:r>
        <w:rPr>
          <w:sz w:val="20"/>
        </w:rPr>
        <w:t>In the evaluation and prioritization of the operating costs of the proposals whose powerhouses operate using different types of fuels, it will be used the spot price of the natural market of each of such fuels, considering the location of the powerhouses and the fuel sources. In case of energy imports, the prioritization will be made considering variations with respect to a portfolio of primary fuels.</w:t>
      </w:r>
    </w:p>
    <w:p>
      <w:pPr>
        <w:pStyle w:val="Normal"/>
        <w:numPr>
          <w:ilvl w:val="0"/>
          <w:numId w:val="19"/>
        </w:numPr>
        <w:tabs>
          <w:tab w:val="clear" w:pos="720"/>
          <w:tab w:val="left" w:pos="567" w:leader="none"/>
        </w:tabs>
        <w:ind w:hanging="283" w:start="567" w:end="0"/>
        <w:rPr>
          <w:sz w:val="20"/>
        </w:rPr>
      </w:pPr>
      <w:r>
        <w:rPr>
          <w:sz w:val="20"/>
        </w:rPr>
        <w:t xml:space="preserve">In terms of the contract, the </w:t>
      </w:r>
      <w:r>
        <w:rPr>
          <w:i/>
          <w:sz w:val="20"/>
        </w:rPr>
        <w:t>Comisión</w:t>
      </w:r>
      <w:r>
        <w:rPr>
          <w:sz w:val="20"/>
        </w:rPr>
        <w:t xml:space="preserve"> will pay the bidder for the following concept:</w:t>
      </w:r>
    </w:p>
    <w:p>
      <w:pPr>
        <w:pStyle w:val="Normal"/>
        <w:ind w:hanging="22" w:start="1440" w:end="0"/>
        <w:rPr>
          <w:sz w:val="20"/>
        </w:rPr>
      </w:pPr>
      <w:r>
        <w:rPr>
          <w:sz w:val="20"/>
        </w:rPr>
        <w:t>Capacity charges</w:t>
      </w:r>
    </w:p>
    <w:p>
      <w:pPr>
        <w:pStyle w:val="CommentText"/>
        <w:tabs>
          <w:tab w:val="clear" w:pos="720"/>
          <w:tab w:val="left" w:pos="851" w:leader="none"/>
          <w:tab w:val="left" w:pos="993" w:leader="none"/>
        </w:tabs>
        <w:rPr/>
      </w:pPr>
      <w:r>
        <w:rPr/>
        <w:tab/>
        <w:t>Capacity fixed charges</w:t>
      </w:r>
    </w:p>
    <w:p>
      <w:pPr>
        <w:pStyle w:val="CommentText"/>
        <w:tabs>
          <w:tab w:val="clear" w:pos="720"/>
          <w:tab w:val="left" w:pos="284" w:leader="none"/>
        </w:tabs>
        <w:ind w:hanging="1" w:start="284" w:end="0"/>
        <w:rPr/>
      </w:pPr>
      <w:r>
        <w:rPr/>
        <w:tab/>
        <w:t xml:space="preserve">They will be those that the bidder offers on his economical proposal and that will cover all the investments made in infrastructure, including financial charges, and that eventually will be transferred to the </w:t>
      </w:r>
      <w:r>
        <w:rPr>
          <w:i/>
        </w:rPr>
        <w:t>Comisión</w:t>
      </w:r>
      <w:r>
        <w:rPr/>
        <w:t xml:space="preserve"> in case of a failure that implies the anticipated ending of the contract, to offer the Contract of Supply Services of Electric Energy. The </w:t>
      </w:r>
      <w:r>
        <w:rPr>
          <w:i/>
        </w:rPr>
        <w:t>Comisión</w:t>
      </w:r>
      <w:r>
        <w:rPr/>
        <w:t xml:space="preserve"> will verify that the sum of this charges corresponds to the investment.</w:t>
      </w:r>
    </w:p>
    <w:p>
      <w:pPr>
        <w:pStyle w:val="CommentText"/>
        <w:tabs>
          <w:tab w:val="clear" w:pos="720"/>
          <w:tab w:val="left" w:pos="709" w:leader="none"/>
          <w:tab w:val="left" w:pos="851" w:leader="none"/>
        </w:tabs>
        <w:ind w:hanging="709" w:start="709" w:end="0"/>
        <w:rPr/>
      </w:pPr>
      <w:r>
        <w:rPr/>
        <w:tab/>
        <w:t>►</w:t>
        <w:tab/>
        <w:t>Operating and maintenance fixed charge</w:t>
      </w:r>
    </w:p>
    <w:p>
      <w:pPr>
        <w:pStyle w:val="CommentText"/>
        <w:ind w:hanging="284" w:start="284" w:end="0"/>
        <w:rPr/>
      </w:pPr>
      <w:r>
        <w:rPr/>
        <w:tab/>
        <w:t xml:space="preserve">They are those that the bidder offers and they include among others the supply and fuel management capacity stock, or the transmission capacity stock to the interconnection point, or to the developers of infrastructure that the bidder does not want to transfer to the </w:t>
      </w:r>
      <w:r>
        <w:rPr>
          <w:i/>
        </w:rPr>
        <w:t>Comisión</w:t>
      </w:r>
      <w:r>
        <w:rPr/>
        <w:t xml:space="preserve"> in case of an anticipated ending.</w:t>
      </w:r>
    </w:p>
    <w:p>
      <w:pPr>
        <w:pStyle w:val="CommentText"/>
        <w:ind w:start="1418" w:end="0"/>
        <w:rPr/>
      </w:pPr>
      <w:r>
        <w:rPr/>
        <w:t>Energy charges</w:t>
      </w:r>
    </w:p>
    <w:p>
      <w:pPr>
        <w:pStyle w:val="CommentText"/>
        <w:tabs>
          <w:tab w:val="clear" w:pos="720"/>
          <w:tab w:val="left" w:pos="851" w:leader="none"/>
        </w:tabs>
        <w:ind w:firstLine="720" w:end="0"/>
        <w:rPr/>
      </w:pPr>
      <w:r>
        <w:rPr/>
        <w:t>►</w:t>
      </w:r>
      <w:r>
        <w:rPr/>
        <w:tab/>
        <w:t>Operating and maintenance variable charges</w:t>
      </w:r>
    </w:p>
    <w:p>
      <w:pPr>
        <w:pStyle w:val="CommentText"/>
        <w:ind w:start="284" w:end="0"/>
        <w:rPr/>
      </w:pPr>
      <w:r>
        <w:rPr/>
        <w:t>They will be those charges that the bidder declares at the beginning and that could include the consumables, water, etc. and that will be prioritized according to the investment of local currency.</w:t>
      </w:r>
    </w:p>
    <w:p>
      <w:pPr>
        <w:pStyle w:val="CommentText"/>
        <w:tabs>
          <w:tab w:val="clear" w:pos="720"/>
          <w:tab w:val="left" w:pos="851" w:leader="none"/>
        </w:tabs>
        <w:ind w:firstLine="11" w:start="709" w:end="0"/>
        <w:rPr/>
      </w:pPr>
      <w:r>
        <w:rPr/>
        <w:t>►</w:t>
      </w:r>
      <w:r>
        <w:rPr/>
        <w:tab/>
        <w:t>Fuel charges</w:t>
      </w:r>
    </w:p>
    <w:p>
      <w:pPr>
        <w:pStyle w:val="CommentText"/>
        <w:ind w:start="284" w:end="-7"/>
        <w:rPr/>
      </w:pPr>
      <w:r>
        <w:rPr/>
        <w:t>The variable fuel charges will be paid in terms of an index of fuels prices of a portfolio proposed and selected by the bidders from the beginning, integrated by fuels such as gas,  heavy fuel, diesel, coal, each of them respectively multiplied by a determined weight a, b, c, d, e where the sum of this weights must be equal to 1 and none of them could be negative, prioritized according to the reference indices.</w:t>
      </w:r>
    </w:p>
    <w:p>
      <w:pPr>
        <w:pStyle w:val="CommentText"/>
        <w:ind w:start="284" w:end="-7"/>
        <w:rPr/>
      </w:pPr>
      <w:r>
        <w:rPr/>
      </w:r>
    </w:p>
    <w:p>
      <w:pPr>
        <w:pStyle w:val="CommentText"/>
        <w:ind w:start="284" w:end="-7"/>
        <w:rPr/>
      </w:pPr>
      <w:r>
        <w:rPr/>
      </w:r>
    </w:p>
    <w:p>
      <w:pPr>
        <w:pStyle w:val="CommentText"/>
        <w:ind w:start="284" w:end="0"/>
        <w:rPr/>
      </w:pPr>
      <w:r>
        <w:rPr/>
        <w:t xml:space="preserve">The bidder has the freedom to choose the technology and fuels, and to choose the weights of its indices portfolio. In accordance to the previously stated, the price that the </w:t>
      </w:r>
      <w:r>
        <w:rPr>
          <w:i/>
        </w:rPr>
        <w:t>Comisión</w:t>
      </w:r>
      <w:r>
        <w:rPr/>
        <w:t xml:space="preserve"> will pay for the fuel variable charges will be proportional to the index price of the fuels portfolio to the monthly quantity of delivered energy.</w:t>
      </w:r>
    </w:p>
    <w:p>
      <w:pPr>
        <w:pStyle w:val="CommentText"/>
        <w:numPr>
          <w:ilvl w:val="0"/>
          <w:numId w:val="7"/>
        </w:numPr>
        <w:tabs>
          <w:tab w:val="clear" w:pos="720"/>
          <w:tab w:val="left" w:pos="567" w:leader="none"/>
        </w:tabs>
        <w:ind w:hanging="283" w:start="567" w:end="0"/>
        <w:rPr/>
      </w:pPr>
      <w:r>
        <w:rPr/>
        <w:t xml:space="preserve">The successful bidder should obtain under his own responsibility all the required financing for the implementation of the project, taking into account that will not be, in any case, endorsement or warranty by the Mexican government or any public Mexican entity, including the </w:t>
      </w:r>
      <w:r>
        <w:rPr>
          <w:i/>
        </w:rPr>
        <w:t>Comisión</w:t>
      </w:r>
      <w:r>
        <w:rPr/>
        <w:t>.</w:t>
      </w:r>
    </w:p>
    <w:p>
      <w:pPr>
        <w:pStyle w:val="CommentText"/>
        <w:numPr>
          <w:ilvl w:val="0"/>
          <w:numId w:val="7"/>
        </w:numPr>
        <w:tabs>
          <w:tab w:val="clear" w:pos="720"/>
          <w:tab w:val="left" w:pos="567" w:leader="none"/>
        </w:tabs>
        <w:ind w:hanging="283" w:start="567" w:end="0"/>
        <w:rPr/>
      </w:pPr>
      <w:r>
        <w:rPr/>
        <w:t>The bidders will be responsible for the fiscal planning and the fulfillment of the applicable laws in taxation matters in relation with their participation in the bidding process and the submission of their proposal, including in a declaratory way, but not in a restrictive way, any tariffs, taxes or export dues, on its case, in the intelligence that the monthly payments will not be adjusted because of mistakes or deficiencies  on the underlying fiscal plan to the proposal.</w:t>
      </w:r>
    </w:p>
    <w:p>
      <w:pPr>
        <w:pStyle w:val="CommentText"/>
        <w:numPr>
          <w:ilvl w:val="0"/>
          <w:numId w:val="7"/>
        </w:numPr>
        <w:tabs>
          <w:tab w:val="clear" w:pos="720"/>
          <w:tab w:val="left" w:pos="567" w:leader="none"/>
        </w:tabs>
        <w:ind w:hanging="283" w:start="567" w:end="0"/>
        <w:rPr/>
      </w:pPr>
      <w:r>
        <w:rPr/>
        <w:t xml:space="preserve">The successful bidder should issue the starting certificate on the dates established on the bidding bases, notifying the </w:t>
      </w:r>
      <w:r>
        <w:rPr>
          <w:i/>
        </w:rPr>
        <w:t>Comisión</w:t>
      </w:r>
      <w:r>
        <w:rPr/>
        <w:t xml:space="preserve"> that he has obtained the financial resources to fulfill the contractual obligations, or that he has initiated the works according to a continuos and consistent program with a calendar and critical events, or that he counts with the necessary arrangements to import energy.</w:t>
      </w:r>
    </w:p>
    <w:p>
      <w:pPr>
        <w:pStyle w:val="CommentText"/>
        <w:numPr>
          <w:ilvl w:val="0"/>
          <w:numId w:val="7"/>
        </w:numPr>
        <w:tabs>
          <w:tab w:val="clear" w:pos="720"/>
          <w:tab w:val="left" w:pos="567" w:leader="none"/>
        </w:tabs>
        <w:ind w:hanging="283" w:start="567" w:end="0"/>
        <w:rPr/>
      </w:pPr>
      <w:r>
        <w:rPr/>
        <w:t xml:space="preserve">Starting with the date of entering into the contract, and until the date of commercial operation or the date of the first import, whichever is the case, the successful bidder should deliver an advancement report, indicating, among other things, the advance in the construction of the works, the efforts made on the electric energy exportation and the permits gathering, among other things, information that will be verified by the </w:t>
      </w:r>
      <w:r>
        <w:rPr>
          <w:i/>
        </w:rPr>
        <w:t>Comisión</w:t>
      </w:r>
      <w:r>
        <w:rPr/>
        <w:t>.</w:t>
      </w:r>
    </w:p>
    <w:p>
      <w:pPr>
        <w:pStyle w:val="CommentText"/>
        <w:numPr>
          <w:ilvl w:val="0"/>
          <w:numId w:val="7"/>
        </w:numPr>
        <w:tabs>
          <w:tab w:val="clear" w:pos="720"/>
          <w:tab w:val="left" w:pos="567" w:leader="none"/>
        </w:tabs>
        <w:ind w:hanging="283" w:start="567" w:end="0"/>
        <w:rPr/>
      </w:pPr>
      <w:r>
        <w:rPr/>
        <w:t xml:space="preserve">In case that the bidder has chosen to be an external energy producer the </w:t>
      </w:r>
      <w:r>
        <w:rPr>
          <w:i/>
        </w:rPr>
        <w:t>Comisión</w:t>
      </w:r>
      <w:r>
        <w:rPr/>
        <w:t xml:space="preserve"> will have the obligation to acquire the facilities if the successful bidder cancels the contract as a result of a failure event of the </w:t>
      </w:r>
      <w:r>
        <w:rPr>
          <w:i/>
        </w:rPr>
        <w:t>Comisión</w:t>
      </w:r>
      <w:r>
        <w:rPr/>
        <w:t xml:space="preserve"> or a governmental force majeur. In case that the successful bidder has chosen the export of electric energy it will proceed his compensation for the damages suffered as a result of a failure of the </w:t>
      </w:r>
      <w:r>
        <w:rPr>
          <w:i/>
        </w:rPr>
        <w:t>Comisión</w:t>
      </w:r>
      <w:r>
        <w:rPr/>
        <w:t xml:space="preserve"> and will be treated with a formula foreseen in the bidding bases. In case of a failure event from the successful bidder of the bidding, the </w:t>
      </w:r>
      <w:r>
        <w:rPr>
          <w:i/>
        </w:rPr>
        <w:t>Comisión</w:t>
      </w:r>
      <w:r>
        <w:rPr/>
        <w:t xml:space="preserve"> will have the right but not the obligation to acquire the assets of the project and will execute the corresponding warranty.</w:t>
      </w:r>
    </w:p>
    <w:p>
      <w:pPr>
        <w:pStyle w:val="CommentText"/>
        <w:numPr>
          <w:ilvl w:val="0"/>
          <w:numId w:val="7"/>
        </w:numPr>
        <w:tabs>
          <w:tab w:val="clear" w:pos="720"/>
          <w:tab w:val="left" w:pos="567" w:leader="none"/>
        </w:tabs>
        <w:ind w:hanging="283" w:start="567" w:end="0"/>
        <w:rPr/>
      </w:pPr>
      <w:r>
        <w:rPr/>
        <w:t xml:space="preserve">In case of an anticipated ending of the contract the </w:t>
      </w:r>
      <w:r>
        <w:rPr>
          <w:i/>
        </w:rPr>
        <w:t>Comisión</w:t>
      </w:r>
      <w:r>
        <w:rPr/>
        <w:t xml:space="preserve"> will have the option but not the obligation to assume the producer supply of fuel contract.</w:t>
      </w:r>
    </w:p>
    <w:p>
      <w:pPr>
        <w:pStyle w:val="CommentText"/>
        <w:numPr>
          <w:ilvl w:val="0"/>
          <w:numId w:val="7"/>
        </w:numPr>
        <w:tabs>
          <w:tab w:val="clear" w:pos="720"/>
          <w:tab w:val="left" w:pos="567" w:leader="none"/>
        </w:tabs>
        <w:ind w:hanging="283" w:start="567" w:end="0"/>
        <w:rPr/>
      </w:pPr>
      <w:r>
        <w:rPr/>
        <w:t xml:space="preserve">In the position of importation contracts of electric energy, whose structure does not contemplates the transfer of assets to the </w:t>
      </w:r>
      <w:r>
        <w:rPr>
          <w:i/>
        </w:rPr>
        <w:t>Comisión</w:t>
      </w:r>
      <w:r>
        <w:rPr/>
        <w:t xml:space="preserve"> under the assumption of anticipated ending, the fulfillment warranty of the required contract to the supplier will be a percentage of the rowing value of the contract for the according year.</w:t>
      </w:r>
    </w:p>
    <w:p>
      <w:pPr>
        <w:pStyle w:val="CommentText"/>
        <w:numPr>
          <w:ilvl w:val="0"/>
          <w:numId w:val="7"/>
        </w:numPr>
        <w:tabs>
          <w:tab w:val="clear" w:pos="720"/>
          <w:tab w:val="left" w:pos="567" w:leader="none"/>
        </w:tabs>
        <w:ind w:hanging="283" w:start="567" w:end="0"/>
        <w:rPr/>
      </w:pPr>
      <w:r>
        <w:rPr/>
        <w:t xml:space="preserve">The required payments of the </w:t>
      </w:r>
      <w:r>
        <w:rPr>
          <w:i/>
        </w:rPr>
        <w:t>Comisión</w:t>
      </w:r>
      <w:r>
        <w:rPr/>
        <w:t xml:space="preserve"> according to the contract will be adjusted if the successful bidder of the bidding incurs in higher or lower costs in relation to the fulfillment of the derived obligations of his contract due to changes in the Mexican legislation and in case of importation of energy, also due to changes in the foreigner legislation.</w:t>
      </w:r>
    </w:p>
    <w:p>
      <w:pPr>
        <w:pStyle w:val="CommentText"/>
        <w:ind w:firstLine="11" w:start="709" w:end="0"/>
        <w:rPr/>
      </w:pPr>
      <w:r>
        <w:rPr/>
      </w:r>
    </w:p>
    <w:p>
      <w:pPr>
        <w:pStyle w:val="CommentText"/>
        <w:ind w:firstLine="11" w:start="709" w:end="0"/>
        <w:rPr/>
      </w:pPr>
      <w:r>
        <w:rPr/>
      </w:r>
    </w:p>
    <w:p>
      <w:pPr>
        <w:pStyle w:val="CommentText"/>
        <w:ind w:firstLine="11" w:start="709" w:end="0"/>
        <w:rPr/>
      </w:pPr>
      <w:r>
        <w:rPr/>
      </w:r>
    </w:p>
    <w:p>
      <w:pPr>
        <w:pStyle w:val="CommentText"/>
        <w:ind w:start="284" w:end="0"/>
        <w:jc w:val="center"/>
        <w:rPr>
          <w:b/>
        </w:rPr>
      </w:pPr>
      <w:r>
        <w:rPr>
          <w:b/>
        </w:rPr>
        <w:t>THIS QUESTIONARY IS TO BE ANSWERED BY POTENTIALS BIDDERS</w:t>
      </w:r>
    </w:p>
    <w:p>
      <w:pPr>
        <w:pStyle w:val="CommentText"/>
        <w:ind w:start="284" w:end="0"/>
        <w:rPr/>
      </w:pPr>
      <w:r>
        <w:rPr/>
        <w:t xml:space="preserve">The information and/or comments that the enterprise may give will be strictly confidential to the CFE. </w:t>
      </w:r>
    </w:p>
    <w:p>
      <w:pPr>
        <w:pStyle w:val="CommentText"/>
        <w:ind w:hanging="425" w:start="851" w:end="0"/>
        <w:rPr/>
      </w:pPr>
      <w:r>
        <w:rPr/>
        <w:t>1.-</w:t>
        <w:tab/>
        <w:t xml:space="preserve">In your opinion , which effects will have that the </w:t>
      </w:r>
      <w:r>
        <w:rPr>
          <w:i/>
        </w:rPr>
        <w:t>Comisión</w:t>
      </w:r>
      <w:r>
        <w:rPr/>
        <w:t xml:space="preserve"> does not provide  an Optional Site and other Real State Rights, neither will be responsible to obtain    environmental permits nor use of land permits?   </w:t>
      </w:r>
    </w:p>
    <w:p>
      <w:pPr>
        <w:pStyle w:val="CommentText"/>
        <w:ind w:hanging="425" w:start="851" w:end="0"/>
        <w:rPr/>
      </w:pPr>
      <w:r>
        <w:rPr/>
        <w:t>2.-</w:t>
        <w:tab/>
        <w:t>Which would you consider that could be the time limit that should be half way  between the Verdict date and the Starting date, in order to let the producer/supplier have a possibility to obtain, depending on the modality, the Site, Real State Rights and the permits required by the project?</w:t>
      </w:r>
    </w:p>
    <w:p>
      <w:pPr>
        <w:pStyle w:val="CommentText"/>
        <w:ind w:hanging="425" w:start="851" w:end="0"/>
        <w:rPr/>
      </w:pPr>
      <w:r>
        <w:rPr/>
        <w:t>3.-</w:t>
        <w:tab/>
        <w:t>Which would be the preference of that company to supply the CFE with the required capacity and energy: (i) through an external energy producer figure; (ii) through an importation figure for public service; or (iii) through a combination of both, and in this case, in which percentage?</w:t>
      </w:r>
    </w:p>
    <w:p>
      <w:pPr>
        <w:pStyle w:val="CommentText"/>
        <w:ind w:hanging="425" w:start="851" w:end="0"/>
        <w:rPr/>
      </w:pPr>
      <w:r>
        <w:rPr/>
        <w:t>4.-</w:t>
        <w:tab/>
        <w:t>Which would you consider to be the advantages and disadvantages for the CFE and also for the producer/supplier, in regard of the usage of the external energy production figure, versus the importation figure of energy for public service?</w:t>
      </w:r>
    </w:p>
    <w:p>
      <w:pPr>
        <w:pStyle w:val="CommentText"/>
        <w:ind w:hanging="425" w:start="851" w:end="0"/>
        <w:rPr/>
      </w:pPr>
      <w:r>
        <w:rPr/>
        <w:t>5.-</w:t>
        <w:tab/>
        <w:t>In consent of your experience, which would be the intricacy degree to let happen the implementation of a capacity export contract in the long term from the USA to Mexico ? and how long would it take to obtain the governmental authorizations  required in the USA?</w:t>
      </w:r>
    </w:p>
    <w:p>
      <w:pPr>
        <w:pStyle w:val="CommentText"/>
        <w:ind w:hanging="425" w:start="851" w:end="0"/>
        <w:rPr/>
      </w:pPr>
      <w:r>
        <w:rPr/>
        <w:t>6.-</w:t>
        <w:tab/>
        <w:t>From the company point of view, which are the capacity supply sources  and/or available energy in the USA to export energy to Mexico: (i) existing powerhouses; (ii) “spot” market; (iii) the  building of a “dedicated” plant; or (iv) the combination of both, and in this case, in which percentage?</w:t>
      </w:r>
    </w:p>
    <w:p>
      <w:pPr>
        <w:pStyle w:val="CommentText"/>
        <w:ind w:hanging="425" w:start="851" w:end="0"/>
        <w:rPr/>
      </w:pPr>
      <w:r>
        <w:rPr/>
        <w:t>7.-</w:t>
        <w:tab/>
        <w:t>In the case of  previous termination of the energy import contract, and depending on the supplier source, in your opinion which could be the factors  that should be consider to calculate the value of the termination of the contract and also the value of the assets  that, in its case,  will be transfer to the CFE?</w:t>
      </w:r>
    </w:p>
    <w:p>
      <w:pPr>
        <w:pStyle w:val="CommentText"/>
        <w:ind w:hanging="425" w:start="851" w:end="0"/>
        <w:rPr/>
      </w:pPr>
      <w:r>
        <w:rPr/>
        <w:t>8.-</w:t>
        <w:tab/>
        <w:t>In case of an anticipated termination of the  energy import contract  proceeding from  the USA that implies  the transference of assets to the CFE , either generation powerhouses, transmission lines or “dedicated” substations, or partial rights of usage and utilization on similar  “not dedicated” assets, in your opinion which would be the possibility that in the light of the American legislation the exporter   enters into a contract that establishes the immediate  right for CFE to operate such assets or to exercise the rights of use and utilization, depending the case?</w:t>
      </w:r>
    </w:p>
    <w:p>
      <w:pPr>
        <w:pStyle w:val="CommentText"/>
        <w:ind w:hanging="425" w:start="851" w:end="0"/>
        <w:rPr/>
      </w:pPr>
      <w:r>
        <w:rPr/>
        <w:t>9.-</w:t>
        <w:tab/>
        <w:t>In your opinion, which would be the fair and equitable way to evaluate the proposals that are based on different production technologies and modalities?</w:t>
      </w:r>
    </w:p>
    <w:p>
      <w:pPr>
        <w:pStyle w:val="CommentText"/>
        <w:ind w:hanging="425" w:start="851" w:end="0"/>
        <w:rPr/>
      </w:pPr>
      <w:r>
        <w:rPr/>
        <w:t>10.-</w:t>
        <w:tab/>
        <w:t xml:space="preserve">Taking into consideration that energy would be dispatched by base load and that the </w:t>
      </w:r>
      <w:r>
        <w:rPr>
          <w:i/>
        </w:rPr>
        <w:t>Comisión</w:t>
      </w:r>
      <w:r>
        <w:rPr/>
        <w:t xml:space="preserve"> will not guarantee a predispatch, in your opinion which would be a fair way of payment of delivered energy at the interconnection points, in terms of the fuels portfolio?</w:t>
      </w:r>
    </w:p>
    <w:p>
      <w:pPr>
        <w:pStyle w:val="CommentText"/>
        <w:ind w:hanging="720" w:start="2160" w:end="0"/>
        <w:rPr/>
      </w:pPr>
      <w:r>
        <w:rPr/>
      </w:r>
    </w:p>
    <w:p>
      <w:pPr>
        <w:pStyle w:val="CommentText"/>
        <w:ind w:start="284" w:end="0"/>
        <w:jc w:val="both"/>
        <w:rPr/>
      </w:pPr>
      <w:r>
        <w:rPr/>
        <w:t xml:space="preserve">When expressing your answers, please make reference to the number of the question that you are answering or commenting. </w:t>
      </w:r>
    </w:p>
    <w:p>
      <w:pPr>
        <w:pStyle w:val="CommentText"/>
        <w:ind w:start="284" w:end="0"/>
        <w:jc w:val="both"/>
        <w:rPr/>
      </w:pPr>
      <w:r>
        <w:rPr/>
        <w:t xml:space="preserve">The CFE will appreciate any observation or additional comment that your company could have in regard to the modality in which it pretends to bid for the Río Bravo project and whose relevant terms and conditions have previously been described.   </w:t>
      </w:r>
    </w:p>
    <w:p>
      <w:pPr>
        <w:pStyle w:val="CommentText"/>
        <w:ind w:hanging="720" w:start="2160" w:end="0"/>
        <w:rPr>
          <w:rFonts w:eastAsia="Palatino"/>
        </w:rPr>
      </w:pPr>
      <w:r>
        <w:rPr>
          <w:rFonts w:eastAsia="Palatino"/>
        </w:rPr>
        <w:t xml:space="preserve">  </w:t>
      </w:r>
    </w:p>
    <w:p>
      <w:pPr>
        <w:pStyle w:val="CommentText"/>
        <w:ind w:firstLine="11" w:start="709" w:end="0"/>
        <w:rPr/>
      </w:pPr>
      <w:r>
        <w:rPr/>
      </w:r>
    </w:p>
    <w:p>
      <w:pPr>
        <w:pStyle w:val="CommentText"/>
        <w:ind w:hanging="709" w:start="709" w:end="0"/>
        <w:rPr/>
      </w:pPr>
      <w:r>
        <w:rPr/>
      </w:r>
    </w:p>
    <w:p>
      <w:pPr>
        <w:pStyle w:val="TOC4"/>
        <w:tabs>
          <w:tab w:val="clear" w:pos="8309"/>
        </w:tabs>
        <w:spacing w:before="0" w:after="18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1973"/>
        </w:tabs>
        <w:ind w:start="1872" w:hanging="259"/>
      </w:pPr>
      <w:rPr>
        <w:rFonts w:ascii="Palatino" w:hAnsi="Palatino" w:cs="Palatino"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648"/>
        </w:tabs>
        <w:ind w:start="605" w:hanging="317"/>
      </w:pPr>
      <w:rPr>
        <w:rFonts w:ascii="Palatino" w:hAnsi="Palatino" w:cs="Palatino" w:hint="default"/>
      </w:rPr>
    </w:lvl>
  </w:abstractNum>
  <w:abstractNum w:abstractNumId="11">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2">
    <w:lvl w:ilvl="0">
      <w:start w:val="1"/>
      <w:numFmt w:val="bullet"/>
      <w:lvlText w:val=""/>
      <w:lvlJc w:val="start"/>
      <w:pPr>
        <w:tabs>
          <w:tab w:val="num" w:pos="360"/>
        </w:tabs>
        <w:ind w:start="288" w:hanging="288"/>
      </w:pPr>
      <w:rPr>
        <w:rFonts w:ascii="Wingdings" w:hAnsi="Wingdings" w:cs="Wingdings"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965"/>
        </w:tabs>
        <w:ind w:start="936" w:hanging="331"/>
      </w:pPr>
      <w:rPr>
        <w:rFonts w:ascii="Palatino" w:hAnsi="Palatino" w:cs="Palatino" w:hint="default"/>
      </w:rPr>
    </w:lvl>
  </w:abstractNum>
  <w:abstractNum w:abstractNumId="15">
    <w:lvl w:ilvl="0">
      <w:start w:val="1"/>
      <w:numFmt w:val="lowerLetter"/>
      <w:lvlText w:val="%1)"/>
      <w:lvlJc w:val="start"/>
      <w:pPr>
        <w:tabs>
          <w:tab w:val="num" w:pos="1800"/>
        </w:tabs>
        <w:ind w:start="1800" w:hanging="360"/>
      </w:pPr>
      <w:rPr/>
    </w:lvl>
  </w:abstractNum>
  <w:abstractNum w:abstractNumId="16">
    <w:lvl w:ilvl="0">
      <w:start w:val="1"/>
      <w:numFmt w:val="bullet"/>
      <w:lvlText w:val="¶"/>
      <w:lvlJc w:val="start"/>
      <w:pPr>
        <w:tabs>
          <w:tab w:val="num" w:pos="1051"/>
        </w:tabs>
        <w:ind w:start="979" w:hanging="288"/>
      </w:pPr>
      <w:rPr>
        <w:rFonts w:ascii="Palatino" w:hAnsi="Palatino" w:cs="Palatino" w:hint="default"/>
      </w:rPr>
    </w:lvl>
  </w:abstractNum>
  <w:abstractNum w:abstractNumId="17">
    <w:lvl w:ilvl="0">
      <w:start w:val="1"/>
      <w:numFmt w:val="bullet"/>
      <w:lvlText w:val=""/>
      <w:lvlJc w:val="start"/>
      <w:pPr>
        <w:tabs>
          <w:tab w:val="num" w:pos="1339"/>
        </w:tabs>
        <w:ind w:start="1296" w:hanging="317"/>
      </w:pPr>
      <w:rPr>
        <w:rFonts w:ascii="Wingdings" w:hAnsi="Wingdings" w:cs="Wingdings" w:hint="default"/>
      </w:rPr>
    </w:lvl>
  </w:abstractNum>
  <w:abstractNum w:abstractNumId="18">
    <w:lvl w:ilvl="0">
      <w:start w:val="1"/>
      <w:numFmt w:val="bullet"/>
      <w:lvlText w:val="–"/>
      <w:lvlJc w:val="start"/>
      <w:pPr>
        <w:tabs>
          <w:tab w:val="num" w:pos="1656"/>
        </w:tabs>
        <w:ind w:start="1613" w:hanging="317"/>
      </w:pPr>
      <w:rPr>
        <w:rFonts w:ascii="Palatino" w:hAnsi="Palatino" w:cs="Palatino"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numFmt w:val="bullet"/>
      <w:lvlText w:val="¶"/>
      <w:lvlJc w:val="start"/>
      <w:pPr>
        <w:tabs>
          <w:tab w:val="num" w:pos="288"/>
        </w:tabs>
        <w:ind w:start="979" w:hanging="288"/>
      </w:pPr>
      <w:rPr>
        <w:rFonts w:ascii="Palatino" w:hAnsi="Palatino" w:cs="Palatino" w:hint="default"/>
      </w:rPr>
    </w:lvl>
  </w:abstractNum>
  <w:abstractNum w:abstractNumId="21">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 w:hAnsi="Palatino" w:eastAsia="Times New Roman" w:cs="Palatino"/>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Palatino" w:hAnsi="Palatino" w:cs="Palatino"/>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7z0">
    <w:name w:val="WW8Num17z0"/>
    <w:qFormat/>
    <w:rPr>
      <w:rFonts w:ascii="Palatino" w:hAnsi="Palatino" w:cs="Palatino"/>
    </w:rPr>
  </w:style>
  <w:style w:type="character" w:styleId="WW8Num18z0">
    <w:name w:val="WW8Num18z0"/>
    <w:qFormat/>
    <w:rPr>
      <w:rFonts w:ascii="Times" w:hAnsi="Times" w:cs="Times"/>
      <w:b w:val="false"/>
      <w:i w:val="false"/>
      <w:sz w:val="24"/>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Palatino" w:hAnsi="Palatino" w:cs="Palatino"/>
    </w:rPr>
  </w:style>
  <w:style w:type="character" w:styleId="WW8Num22z0">
    <w:name w:val="WW8Num22z0"/>
    <w:qFormat/>
    <w:rPr>
      <w:rFonts w:ascii="Times" w:hAnsi="Times" w:cs="Times"/>
      <w:b w:val="false"/>
      <w:i w:val="false"/>
      <w:sz w:val="24"/>
    </w:rPr>
  </w:style>
  <w:style w:type="character" w:styleId="WW8Num23z0">
    <w:name w:val="WW8Num23z0"/>
    <w:qFormat/>
    <w:rPr>
      <w:rFonts w:ascii="Symbol" w:hAnsi="Symbol" w:cs="Symbol"/>
    </w:rPr>
  </w:style>
  <w:style w:type="character" w:styleId="WW8Num24z0">
    <w:name w:val="WW8Num24z0"/>
    <w:qFormat/>
    <w:rPr>
      <w:rFonts w:ascii="Palatino" w:hAnsi="Palatino" w:cs="Palatino"/>
    </w:rPr>
  </w:style>
  <w:style w:type="character" w:styleId="WW8Num26z0">
    <w:name w:val="WW8Num26z0"/>
    <w:qFormat/>
    <w:rPr>
      <w:rFonts w:ascii="Symbol" w:hAnsi="Symbol" w:cs="Symbol"/>
    </w:rPr>
  </w:style>
  <w:style w:type="character" w:styleId="WW8Num29z0">
    <w:name w:val="WW8Num29z0"/>
    <w:qFormat/>
    <w:rPr>
      <w:rFonts w:ascii="Palatino" w:hAnsi="Palatino" w:cs="Palatino"/>
    </w:rPr>
  </w:style>
  <w:style w:type="character" w:styleId="WW8Num30z0">
    <w:name w:val="WW8Num30z0"/>
    <w:qFormat/>
    <w:rPr>
      <w:rFonts w:ascii="Times" w:hAnsi="Times" w:cs="Times"/>
      <w:b w:val="false"/>
      <w:i w:val="false"/>
      <w:sz w:val="24"/>
    </w:rPr>
  </w:style>
  <w:style w:type="character" w:styleId="WW8Num33z0">
    <w:name w:val="WW8Num33z0"/>
    <w:qFormat/>
    <w:rPr>
      <w:rFonts w:ascii="Times" w:hAnsi="Times" w:cs="Times"/>
      <w:b w:val="false"/>
      <w:i w:val="false"/>
      <w:sz w:val="24"/>
    </w:rPr>
  </w:style>
  <w:style w:type="character" w:styleId="WW8Num34z0">
    <w:name w:val="WW8Num34z0"/>
    <w:qFormat/>
    <w:rPr>
      <w:rFonts w:ascii="Times" w:hAnsi="Times" w:cs="Times"/>
      <w:b w:val="false"/>
      <w:i w:val="false"/>
      <w:sz w:val="24"/>
    </w:rPr>
  </w:style>
  <w:style w:type="character" w:styleId="WW8Num36z0">
    <w:name w:val="WW8Num36z0"/>
    <w:qFormat/>
    <w:rPr>
      <w:rFonts w:ascii="Times New Roman" w:hAnsi="Times New Roman" w:cs="Times New Roman"/>
    </w:rPr>
  </w:style>
  <w:style w:type="character" w:styleId="WW8Num37z0">
    <w:name w:val="WW8Num37z0"/>
    <w:qFormat/>
    <w:rPr>
      <w:rFonts w:ascii="Wingdings" w:hAnsi="Wingdings" w:cs="Wingdings"/>
    </w:rPr>
  </w:style>
  <w:style w:type="character" w:styleId="WW8Num38z0">
    <w:name w:val="WW8Num38z0"/>
    <w:qFormat/>
    <w:rPr>
      <w:rFonts w:ascii="Palatino" w:hAnsi="Palatino" w:cs="Palatino"/>
      <w:b w:val="false"/>
      <w:i w:val="false"/>
    </w:rPr>
  </w:style>
  <w:style w:type="character" w:styleId="WW8Num43z0">
    <w:name w:val="WW8Num43z0"/>
    <w:qFormat/>
    <w:rPr>
      <w:rFonts w:ascii="Wingdings" w:hAnsi="Wingdings" w:cs="Wingdings"/>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9z0">
    <w:name w:val="WW8Num49z0"/>
    <w:qFormat/>
    <w:rPr>
      <w:rFonts w:ascii="Palatino" w:hAnsi="Palatino" w:cs="Palatino"/>
    </w:rPr>
  </w:style>
  <w:style w:type="character" w:styleId="WW8Num50z0">
    <w:name w:val="WW8Num50z0"/>
    <w:qFormat/>
    <w:rPr>
      <w:rFonts w:ascii="Times" w:hAnsi="Times" w:cs="Times"/>
      <w:b w:val="false"/>
      <w:i w:val="false"/>
      <w:sz w:val="24"/>
    </w:rPr>
  </w:style>
  <w:style w:type="character" w:styleId="WW8Num51z0">
    <w:name w:val="WW8Num51z0"/>
    <w:qFormat/>
    <w:rPr>
      <w:rFonts w:ascii="Palatino" w:hAnsi="Palatino" w:cs="Palatino"/>
    </w:rPr>
  </w:style>
  <w:style w:type="character" w:styleId="WW8Num52z0">
    <w:name w:val="WW8Num52z0"/>
    <w:qFormat/>
    <w:rPr>
      <w:rFonts w:ascii="Palatino" w:hAnsi="Palatino" w:cs="Palatino"/>
    </w:rPr>
  </w:style>
  <w:style w:type="character" w:styleId="WW8Num55z0">
    <w:name w:val="WW8Num55z0"/>
    <w:qFormat/>
    <w:rPr>
      <w:rFonts w:ascii="Times" w:hAnsi="Times" w:cs="Times"/>
      <w:b w:val="false"/>
      <w:i w:val="false"/>
      <w:sz w:val="24"/>
    </w:rPr>
  </w:style>
  <w:style w:type="character" w:styleId="WW8Num56z0">
    <w:name w:val="WW8Num56z0"/>
    <w:qFormat/>
    <w:rPr/>
  </w:style>
  <w:style w:type="character" w:styleId="WW8Num58z0">
    <w:name w:val="WW8Num58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61z0">
    <w:name w:val="WW8Num61z0"/>
    <w:qFormat/>
    <w:rPr>
      <w:rFonts w:ascii="Times" w:hAnsi="Times" w:cs="Times"/>
      <w:b w:val="false"/>
      <w:i w:val="false"/>
      <w:sz w:val="24"/>
    </w:rPr>
  </w:style>
  <w:style w:type="character" w:styleId="WW8Num62z0">
    <w:name w:val="WW8Num62z0"/>
    <w:qFormat/>
    <w:rPr>
      <w:rFonts w:ascii="Times" w:hAnsi="Times" w:cs="Times"/>
      <w:b w:val="false"/>
      <w:i w:val="false"/>
      <w:sz w:val="24"/>
    </w:rPr>
  </w:style>
  <w:style w:type="character" w:styleId="WW8Num63z0">
    <w:name w:val="WW8Num63z0"/>
    <w:qFormat/>
    <w:rPr>
      <w:rFonts w:ascii="Palatino" w:hAnsi="Palatino" w:cs="Palatino"/>
    </w:rPr>
  </w:style>
  <w:style w:type="character" w:styleId="WW8Num64z0">
    <w:name w:val="WW8Num64z0"/>
    <w:qFormat/>
    <w:rPr>
      <w:rFonts w:ascii="Wingdings" w:hAnsi="Wingdings" w:cs="Wingdings"/>
    </w:rPr>
  </w:style>
  <w:style w:type="character" w:styleId="WW8Num65z0">
    <w:name w:val="WW8Num65z0"/>
    <w:qFormat/>
    <w:rPr>
      <w:rFonts w:ascii="Symbol" w:hAnsi="Symbol" w:cs="Symbol"/>
    </w:rPr>
  </w:style>
  <w:style w:type="character" w:styleId="WW8Num67z0">
    <w:name w:val="WW8Num67z0"/>
    <w:qFormat/>
    <w:rPr>
      <w:rFonts w:ascii="Palatino" w:hAnsi="Palatino" w:cs="Palatino"/>
    </w:rPr>
  </w:style>
  <w:style w:type="character" w:styleId="WW8Num69z0">
    <w:name w:val="WW8Num69z0"/>
    <w:qFormat/>
    <w:rPr>
      <w:rFonts w:ascii="Times New Roman" w:hAnsi="Times New Roman" w:cs="Times New Roman"/>
      <w:b w:val="false"/>
      <w:i w:val="false"/>
    </w:rPr>
  </w:style>
  <w:style w:type="character" w:styleId="WW8Num71z0">
    <w:name w:val="WW8Num71z0"/>
    <w:qFormat/>
    <w:rPr>
      <w:rFonts w:ascii="Times New Roman" w:hAnsi="Times New Roman" w:cs="Times New Roman"/>
    </w:rPr>
  </w:style>
  <w:style w:type="character" w:styleId="WW8Num72z0">
    <w:name w:val="WW8Num72z0"/>
    <w:qFormat/>
    <w:rPr>
      <w:rFonts w:ascii="Times" w:hAnsi="Times" w:cs="Times"/>
      <w:b w:val="false"/>
      <w:i w:val="false"/>
      <w:sz w:val="24"/>
    </w:rPr>
  </w:style>
  <w:style w:type="character" w:styleId="WW8Num76z0">
    <w:name w:val="WW8Num76z0"/>
    <w:qFormat/>
    <w:rPr>
      <w:rFonts w:ascii="Times New Roman" w:hAnsi="Times New Roman" w:cs="Times New Roman"/>
    </w:rPr>
  </w:style>
  <w:style w:type="character" w:styleId="WW8Num78z0">
    <w:name w:val="WW8Num78z0"/>
    <w:qFormat/>
    <w:rPr>
      <w:rFonts w:ascii="Times" w:hAnsi="Times" w:cs="Times"/>
      <w:b w:val="false"/>
      <w:i w:val="false"/>
      <w:sz w:val="24"/>
    </w:rPr>
  </w:style>
  <w:style w:type="character" w:styleId="WW8Num79z0">
    <w:name w:val="WW8Num79z0"/>
    <w:qFormat/>
    <w:rPr>
      <w:rFonts w:ascii="Times" w:hAnsi="Times" w:cs="Times"/>
      <w:b w:val="false"/>
      <w:i w:val="false"/>
      <w:sz w:val="24"/>
    </w:rPr>
  </w:style>
  <w:style w:type="character" w:styleId="WW8Num81z0">
    <w:name w:val="WW8Num81z0"/>
    <w:qFormat/>
    <w:rPr>
      <w:rFonts w:ascii="Times New Roman" w:hAnsi="Times New Roman" w:cs="Times New Roman"/>
      <w:b w:val="false"/>
      <w:i w:val="false"/>
    </w:rPr>
  </w:style>
  <w:style w:type="character" w:styleId="WW8Num83z0">
    <w:name w:val="WW8Num83z0"/>
    <w:qFormat/>
    <w:rPr>
      <w:rFonts w:ascii="Times" w:hAnsi="Times" w:cs="Times"/>
      <w:b w:val="false"/>
      <w:i w:val="false"/>
      <w:sz w:val="24"/>
    </w:rPr>
  </w:style>
  <w:style w:type="character" w:styleId="WW8Num84z0">
    <w:name w:val="WW8Num84z0"/>
    <w:qFormat/>
    <w:rPr>
      <w:rFonts w:ascii="Symbol" w:hAnsi="Symbol" w:cs="Symbol"/>
    </w:rPr>
  </w:style>
  <w:style w:type="character" w:styleId="WW8Num87z0">
    <w:name w:val="WW8Num87z0"/>
    <w:qFormat/>
    <w:rPr>
      <w:rFonts w:ascii="Times" w:hAnsi="Times" w:cs="Times"/>
      <w:b w:val="false"/>
      <w:i w:val="false"/>
      <w:sz w:val="24"/>
    </w:rPr>
  </w:style>
  <w:style w:type="character" w:styleId="WW8Num88z0">
    <w:name w:val="WW8Num88z0"/>
    <w:qFormat/>
    <w:rPr>
      <w:rFonts w:ascii="Wingdings" w:hAnsi="Wingdings" w:cs="Wingdings"/>
    </w:rPr>
  </w:style>
  <w:style w:type="character" w:styleId="WW8Num90z0">
    <w:name w:val="WW8Num90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 w:hAnsi="Palatino" w:cs="Palatino"/>
    </w:rPr>
  </w:style>
  <w:style w:type="character" w:styleId="WW8NumSt40z0">
    <w:name w:val="WW8NumSt40z0"/>
    <w:qFormat/>
    <w:rPr>
      <w:rFonts w:ascii="Palatino" w:hAnsi="Palatino" w:cs="Palatino"/>
    </w:rPr>
  </w:style>
  <w:style w:type="character" w:styleId="WW8NumSt43z0">
    <w:name w:val="WW8NumSt43z0"/>
    <w:qFormat/>
    <w:rPr>
      <w:rFonts w:ascii="Palatino" w:hAnsi="Palatino" w:cs="Palatino"/>
    </w:rPr>
  </w:style>
  <w:style w:type="character" w:styleId="WW8NumSt44z0">
    <w:name w:val="WW8NumSt44z0"/>
    <w:qFormat/>
    <w:rPr>
      <w:rFonts w:ascii="Palatino" w:hAnsi="Palatino" w:cs="Palatino"/>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7z0">
    <w:name w:val="WW8NumSt47z0"/>
    <w:qFormat/>
    <w:rPr>
      <w:rFonts w:ascii="Palatino" w:hAnsi="Palatino" w:cs="Palatino"/>
    </w:rPr>
  </w:style>
  <w:style w:type="character" w:styleId="WW8NumSt48z0">
    <w:name w:val="WW8NumSt48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 w:hAnsi="Palatino" w:cs="Palatino"/>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 w:hAnsi="Palatino" w:cs="Palatino"/>
    </w:rPr>
  </w:style>
  <w:style w:type="character" w:styleId="WW8NumSt64z0">
    <w:name w:val="WW8NumSt64z0"/>
    <w:qFormat/>
    <w:rPr>
      <w:rFonts w:ascii="Palatino" w:hAnsi="Palatino" w:cs="Palatino"/>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67z0">
    <w:name w:val="WW8NumSt67z0"/>
    <w:qFormat/>
    <w:rPr>
      <w:rFonts w:ascii="Palatino" w:hAnsi="Palatino" w:cs="Palatino"/>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3z0">
    <w:name w:val="WW8NumSt73z0"/>
    <w:qFormat/>
    <w:rPr>
      <w:rFonts w:ascii="Wingdings" w:hAnsi="Wingdings" w:cs="Wingdings"/>
    </w:rPr>
  </w:style>
  <w:style w:type="character" w:styleId="WW8NumSt74z0">
    <w:name w:val="WW8NumSt74z0"/>
    <w:qFormat/>
    <w:rPr>
      <w:rFonts w:ascii="Palatino" w:hAnsi="Palatino" w:cs="Palatino"/>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sz w:val="26"/>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16"/>
      </w:numPr>
      <w:tabs>
        <w:tab w:val="clear" w:pos="720"/>
      </w:tabs>
      <w:outlineLvl w:val="5"/>
    </w:pPr>
    <w:rPr/>
  </w:style>
  <w:style w:type="paragraph" w:styleId="02bullet">
    <w:name w:val="02 bullet"/>
    <w:basedOn w:val="Normal"/>
    <w:qFormat/>
    <w:pPr>
      <w:numPr>
        <w:ilvl w:val="0"/>
        <w:numId w:val="17"/>
      </w:numPr>
      <w:tabs>
        <w:tab w:val="clear" w:pos="720"/>
      </w:tabs>
      <w:outlineLvl w:val="6"/>
    </w:pPr>
    <w:rPr/>
  </w:style>
  <w:style w:type="paragraph" w:styleId="03dash">
    <w:name w:val="03 dash"/>
    <w:basedOn w:val="Normal"/>
    <w:qFormat/>
    <w:pPr>
      <w:numPr>
        <w:ilvl w:val="0"/>
        <w:numId w:val="18"/>
      </w:numPr>
      <w:tabs>
        <w:tab w:val="clear" w:pos="720"/>
        <w:tab w:val="left" w:pos="1613" w:leader="none"/>
      </w:tabs>
      <w:outlineLvl w:val="7"/>
    </w:pPr>
    <w:rPr/>
  </w:style>
  <w:style w:type="paragraph" w:styleId="04dot">
    <w:name w:val="04 dot"/>
    <w:basedOn w:val="Normal"/>
    <w:qFormat/>
    <w:pPr>
      <w:numPr>
        <w:ilvl w:val="0"/>
        <w:numId w:val="8"/>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20"/>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21"/>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0"/>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sz w:val="26"/>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0"/>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2"/>
      </w:numPr>
      <w:tabs>
        <w:tab w:val="clear" w:pos="720"/>
      </w:tabs>
      <w:spacing w:before="0" w:after="0"/>
    </w:pPr>
    <w:rPr>
      <w:rFonts w:ascii="Arial" w:hAnsi="Arial" w:cs="Arial"/>
    </w:rPr>
  </w:style>
  <w:style w:type="paragraph" w:styleId="62exhdash">
    <w:name w:val="62 exh dash"/>
    <w:basedOn w:val="12tablebullet"/>
    <w:qFormat/>
    <w:pPr>
      <w:numPr>
        <w:ilvl w:val="0"/>
        <w:numId w:val="10"/>
      </w:numPr>
      <w:tabs>
        <w:tab w:val="left" w:pos="605" w:leader="none"/>
      </w:tabs>
    </w:pPr>
    <w:rPr>
      <w:rFonts w:ascii="Arial" w:hAnsi="Arial" w:cs="Arial"/>
    </w:rPr>
  </w:style>
  <w:style w:type="paragraph" w:styleId="63exhdot">
    <w:name w:val="63 exh dot"/>
    <w:basedOn w:val="13tabledash"/>
    <w:qFormat/>
    <w:pPr>
      <w:numPr>
        <w:ilvl w:val="0"/>
        <w:numId w:val="13"/>
      </w:numPr>
    </w:pPr>
    <w:rPr>
      <w:rFonts w:ascii="Arial" w:hAnsi="Arial" w:cs="Arial"/>
    </w:rPr>
  </w:style>
  <w:style w:type="paragraph" w:styleId="64exhddot">
    <w:name w:val="64 exh ddot"/>
    <w:basedOn w:val="04dot"/>
    <w:qFormat/>
    <w:pPr>
      <w:numPr>
        <w:ilvl w:val="0"/>
        <w:numId w:val="11"/>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4"/>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Palatino" w:hAnsi="Palatino" w:cs="Palatino"/>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TR">
    <w:name w:val="DocumentID-TR"/>
    <w:basedOn w:val="Normal"/>
    <w:next w:val="Header"/>
    <w:qFormat/>
    <w:pPr>
      <w:spacing w:before="0" w:after="0"/>
      <w:jc w:val="end"/>
    </w:pPr>
    <w:rPr>
      <w:sz w:val="16"/>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TRT">
    <w:name w:val="DocumentID-TRT"/>
    <w:basedOn w:val="DocumentID-TR"/>
    <w:qFormat/>
    <w:pPr/>
    <w:rPr>
      <w:vanish/>
      <w:color w:val="FF0000"/>
    </w:rPr>
  </w:style>
  <w:style w:type="paragraph" w:styleId="DocumentID-BLT">
    <w:name w:val="DocumentID-BLT"/>
    <w:basedOn w:val="DocumentID-BL"/>
    <w:qFormat/>
    <w:pPr/>
    <w:rPr>
      <w:vanish/>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2000-02-15T02:27:00Z</dcterms:created>
  <dc:creator>Guillermo Fernandez del Busto</dc:creator>
  <dc:description/>
  <dc:language>en-CA</dc:language>
  <cp:lastModifiedBy>Guillermo Fernández del Busto</cp:lastModifiedBy>
  <cp:lastPrinted>2000-02-15T15:42:00Z</cp:lastPrinted>
  <dcterms:modified xsi:type="dcterms:W3CDTF">2000-02-15T22:02:00Z</dcterms:modified>
  <cp:revision>5</cp:revision>
  <dc:subject/>
  <dc:title/>
</cp:coreProperties>
</file>