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THE 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rPr>
          <w:b/>
        </w:rPr>
      </w:pPr>
      <w:r>
        <w:rPr>
          <w:b/>
        </w:rPr>
      </w:r>
    </w:p>
    <w:p>
      <w:pPr>
        <w:pStyle w:val="BodyTextLeft"/>
        <w:spacing w:before="0" w:after="0"/>
        <w:rPr>
          <w:b/>
        </w:rPr>
      </w:pPr>
      <w:r>
        <w:rPr>
          <w:b/>
        </w:rPr>
        <w:t>San Diego Gas &amp; Electric Company,</w:t>
        <w:tab/>
        <w:tab/>
        <w:t xml:space="preserve">) </w:t>
        <w:tab/>
      </w:r>
    </w:p>
    <w:p>
      <w:pPr>
        <w:pStyle w:val="Normal"/>
        <w:ind w:firstLine="720" w:start="2880" w:end="0"/>
        <w:rPr>
          <w:b/>
        </w:rPr>
      </w:pPr>
      <w:r>
        <w:rPr>
          <w:b/>
        </w:rPr>
        <w:tab/>
        <w:tab/>
        <w:t>)</w:t>
      </w:r>
    </w:p>
    <w:p>
      <w:pPr>
        <w:pStyle w:val="Normal"/>
        <w:ind w:firstLine="720" w:start="2160" w:end="0"/>
        <w:rPr>
          <w:b/>
        </w:rPr>
      </w:pPr>
      <w:r>
        <w:rPr>
          <w:b/>
        </w:rPr>
        <w:t>Complainant</w:t>
        <w:tab/>
        <w:tab/>
        <w:t>)</w:t>
      </w:r>
    </w:p>
    <w:p>
      <w:pPr>
        <w:pStyle w:val="Normal"/>
        <w:numPr>
          <w:ilvl w:val="0"/>
          <w:numId w:val="15"/>
        </w:numPr>
        <w:rPr>
          <w:b/>
        </w:rPr>
      </w:pPr>
      <w:r>
        <w:rPr>
          <w:b/>
        </w:rPr>
        <w:t>)</w:t>
        <w:tab/>
        <w:t>Docket No.</w:t>
        <w:tab/>
        <w:t>EL00-95-000</w:t>
      </w:r>
    </w:p>
    <w:p>
      <w:pPr>
        <w:pStyle w:val="Normal"/>
        <w:ind w:start="5040" w:end="0"/>
        <w:rPr>
          <w:b/>
        </w:rPr>
      </w:pPr>
      <w:r>
        <w:rPr>
          <w:b/>
        </w:rPr>
        <w:t>)</w:t>
      </w:r>
    </w:p>
    <w:p>
      <w:pPr>
        <w:pStyle w:val="Normal"/>
        <w:rPr>
          <w:b/>
        </w:rPr>
      </w:pPr>
      <w:r>
        <w:rPr>
          <w:b/>
        </w:rPr>
        <w:t>Sellers of Energy and Ancillary Services Into</w:t>
        <w:tab/>
        <w:t>)</w:t>
      </w:r>
    </w:p>
    <w:p>
      <w:pPr>
        <w:pStyle w:val="Normal"/>
        <w:rPr>
          <w:b/>
        </w:rPr>
      </w:pPr>
      <w:r>
        <w:rPr>
          <w:b/>
        </w:rPr>
        <w:t>Markets Operated by the California ISO and</w:t>
        <w:tab/>
        <w:t>)</w:t>
      </w:r>
    </w:p>
    <w:p>
      <w:pPr>
        <w:pStyle w:val="Normal"/>
        <w:rPr>
          <w:b/>
        </w:rPr>
      </w:pPr>
      <w:r>
        <w:rPr>
          <w:b/>
        </w:rPr>
        <w:t>The California Power Exchange,</w:t>
        <w:tab/>
        <w:tab/>
        <w:tab/>
        <w:t>)</w:t>
      </w:r>
    </w:p>
    <w:p>
      <w:pPr>
        <w:pStyle w:val="Normal"/>
        <w:rPr>
          <w:b/>
        </w:rPr>
      </w:pPr>
      <w:r>
        <w:rPr>
          <w:b/>
        </w:rPr>
        <w:tab/>
        <w:tab/>
        <w:tab/>
        <w:tab/>
        <w:tab/>
        <w:tab/>
        <w:tab/>
        <w:t>)</w:t>
      </w:r>
    </w:p>
    <w:p>
      <w:pPr>
        <w:pStyle w:val="Normal"/>
        <w:rPr>
          <w:b/>
        </w:rPr>
      </w:pPr>
      <w:r>
        <w:rPr>
          <w:b/>
        </w:rPr>
        <w:tab/>
        <w:tab/>
        <w:tab/>
        <w:tab/>
        <w:t>Respondent.</w:t>
        <w:tab/>
        <w:tab/>
        <w:t>)</w:t>
      </w:r>
    </w:p>
    <w:p>
      <w:pPr>
        <w:pStyle w:val="Normal"/>
        <w:rPr>
          <w:b/>
        </w:rPr>
      </w:pPr>
      <w:r>
        <w:rPr>
          <w:b/>
        </w:rPr>
        <w:tab/>
        <w:tab/>
        <w:tab/>
        <w:tab/>
        <w:tab/>
        <w:tab/>
        <w:tab/>
        <w:t>)</w:t>
      </w:r>
    </w:p>
    <w:p>
      <w:pPr>
        <w:pStyle w:val="Normal"/>
        <w:rPr>
          <w:b/>
        </w:rPr>
      </w:pPr>
      <w:r>
        <w:rPr>
          <w:b/>
        </w:rPr>
        <w:t>Investigation of Practices of the California ISO</w:t>
        <w:tab/>
        <w:t>)</w:t>
        <w:tab/>
        <w:t>Docket No.</w:t>
        <w:tab/>
        <w:t>EL00-98-000</w:t>
      </w:r>
    </w:p>
    <w:p>
      <w:pPr>
        <w:pStyle w:val="Normal"/>
        <w:rPr>
          <w:b/>
        </w:rPr>
      </w:pPr>
      <w:r>
        <w:rPr>
          <w:b/>
        </w:rPr>
        <w:t>And the California Power Exchange</w:t>
        <w:tab/>
        <w:tab/>
        <w:t>)</w:t>
        <w:tab/>
        <w:tab/>
        <w:tab/>
        <w:tab/>
        <w:tab/>
        <w:tab/>
      </w:r>
    </w:p>
    <w:p>
      <w:pPr>
        <w:pStyle w:val="Normal"/>
        <w:jc w:val="center"/>
        <w:rPr/>
      </w:pPr>
      <w:r>
        <w:rPr/>
        <w:t>__________________________________________</w:t>
        <w:br/>
      </w:r>
    </w:p>
    <w:p>
      <w:pPr>
        <w:pStyle w:val="Normal"/>
        <w:jc w:val="center"/>
        <w:rPr>
          <w:b/>
        </w:rPr>
      </w:pPr>
      <w:r>
        <w:rPr>
          <w:b/>
        </w:rPr>
        <w:t xml:space="preserve">REQUEST FOR EMERGENCY RELIEF AND EXTENSION </w:t>
      </w:r>
    </w:p>
    <w:p>
      <w:pPr>
        <w:pStyle w:val="Normal"/>
        <w:jc w:val="center"/>
        <w:rPr>
          <w:b/>
        </w:rPr>
      </w:pPr>
      <w:r>
        <w:rPr>
          <w:b/>
        </w:rPr>
        <w:t>OF WAIVER OF QUALIFYING FACILITY REGULATIONS</w:t>
      </w:r>
    </w:p>
    <w:p>
      <w:pPr>
        <w:pStyle w:val="Normal"/>
        <w:jc w:val="center"/>
        <w:rPr>
          <w:b/>
        </w:rPr>
      </w:pPr>
      <w:r>
        <w:rPr>
          <w:b/>
        </w:rPr>
        <w:t>OF  RIDGEWOOD POWER LLC</w:t>
      </w:r>
    </w:p>
    <w:p>
      <w:pPr>
        <w:pStyle w:val="Normal"/>
        <w:jc w:val="center"/>
        <w:rPr>
          <w:b/>
        </w:rPr>
      </w:pPr>
      <w:r>
        <w:rPr>
          <w:b/>
        </w:rPr>
        <w:t>__________________________________________</w:t>
      </w:r>
    </w:p>
    <w:p>
      <w:pPr>
        <w:pStyle w:val="Normal"/>
        <w:jc w:val="center"/>
        <w:rPr>
          <w:b/>
        </w:rPr>
      </w:pPr>
      <w:r>
        <w:rPr>
          <w:b/>
        </w:rPr>
      </w:r>
    </w:p>
    <w:p>
      <w:pPr>
        <w:pStyle w:val="Normal"/>
        <w:spacing w:lineRule="auto" w:line="480"/>
        <w:rPr/>
      </w:pPr>
      <w:r>
        <w:rPr>
          <w:b/>
        </w:rPr>
        <w:tab/>
      </w:r>
      <w:r>
        <w:rPr/>
        <w:t>Pursuant to Rule 212 of the Rules of Practice and Procedure of the Federal Energy Regulatory Commission (“FERC” or “Commission”), 18 C.F.R. §§ 385.212 (2000), Ridgewood Power LLC (“Ridgewood”) hereby requests that FERC clarify and extend through October 31, 2001, the emergency waiver of the Commission's qualifying facility ("QF") regulations granted in the above-captioned dockets,</w:t>
      </w:r>
      <w:r>
        <w:rPr>
          <w:rStyle w:val="FootnoteCharacters"/>
          <w:rStyle w:val="FootnoteReference"/>
        </w:rPr>
        <w:footnoteReference w:id="2"/>
      </w:r>
      <w:r>
        <w:rPr/>
        <w:t xml:space="preserve"> and allow all QFs in California to sell up to 100 percent of their electrical output to any willing third-party buyer during this period.  This temporary sales authorization will allow QFs to earn  revenues needed to pay outstanding obligations, provide desperately needed generation to California, and allow the State's major investor-owned utilities sufficient time to solve their financial problems. </w:t>
      </w:r>
    </w:p>
    <w:p>
      <w:pPr>
        <w:pStyle w:val="Normal"/>
        <w:spacing w:lineRule="auto" w:line="480"/>
        <w:rPr/>
      </w:pPr>
      <w:r>
        <w:rPr/>
        <w:tab/>
        <w:t xml:space="preserve">One critical clarification needs to be made at the outset.  By this filing, Ridgewood is </w:t>
      </w:r>
      <w:r>
        <w:rPr>
          <w:u w:val="single"/>
        </w:rPr>
        <w:t>not</w:t>
      </w:r>
      <w:r>
        <w:rPr/>
        <w:t xml:space="preserve"> asking the Commission to terminate or modify any of the power purchase agreements ("PPAs") between California QFs and their purchasing utilities.   The purpose of this Request is to ensure that all of the State’s electric generating resources are used to the maximum extent possible, and that badly needed temporary relief is provided to California QFs.  Because the State's major investor-owned utilities are currently unable to pay for these power supplies, the long-term viability of QF generation can only be supported and sustained if QFs are allowed to sell all of their generation directly into the marketplace for a temporary period.</w:t>
      </w:r>
      <w:r>
        <w:rPr>
          <w:rStyle w:val="FootnoteCharacters"/>
          <w:rStyle w:val="FootnoteReference"/>
        </w:rPr>
        <w:footnoteReference w:id="3"/>
      </w:r>
      <w:r>
        <w:rPr/>
        <w:t xml:space="preserve">  By permitting such sales, the Commission will ensure that California consumers have access to all of the State’s QF generation, that QFs receive the revenue stream that is required to keep them in operation, and that the nearly bankrupt utilities gain the opportunity to work out their financial problems.  </w:t>
      </w:r>
    </w:p>
    <w:p>
      <w:pPr>
        <w:pStyle w:val="Normal"/>
        <w:spacing w:lineRule="auto" w:line="480"/>
        <w:ind w:firstLine="720" w:end="0"/>
        <w:rPr/>
      </w:pPr>
      <w:r>
        <w:rPr/>
        <w:t>Some QFs (such as Ridgewood, for example) may choose to claim that the utilities'</w:t>
      </w:r>
      <w:r>
        <w:rPr>
          <w:u w:val="single"/>
        </w:rPr>
        <w:t xml:space="preserve"> </w:t>
      </w:r>
      <w:r>
        <w:rPr/>
        <w:t>failure to pay is a breach of their PPA, and that the agreements are now terminated.  Ridgewood believes, however, that any such matters should be decided by the courts.  Nothing in this filing seeks to bring these issues before the Commission.</w:t>
      </w:r>
    </w:p>
    <w:p>
      <w:pPr>
        <w:pStyle w:val="BodyTextNumber"/>
        <w:numPr>
          <w:ilvl w:val="0"/>
          <w:numId w:val="0"/>
        </w:numPr>
        <w:spacing w:lineRule="auto" w:line="480" w:before="0" w:after="0"/>
        <w:ind w:firstLine="720" w:start="0" w:end="0"/>
        <w:rPr/>
      </w:pPr>
      <w:r>
        <w:rPr/>
        <w:t xml:space="preserve">The need for immediate relief cannot be overestimated.  A great many QF facilities in California have either gone off-line or must do so within the next few weeks if action is not taken </w:t>
      </w:r>
    </w:p>
    <w:p>
      <w:pPr>
        <w:pStyle w:val="BodyTextNumber"/>
        <w:numPr>
          <w:ilvl w:val="0"/>
          <w:numId w:val="0"/>
        </w:numPr>
        <w:spacing w:lineRule="auto" w:line="480" w:before="0" w:after="0"/>
        <w:ind w:hanging="0" w:start="0"/>
        <w:rPr/>
      </w:pPr>
      <w:r>
        <w:rPr/>
        <w:t>to assure that they are paid.</w:t>
      </w:r>
      <w:r>
        <w:rPr>
          <w:rStyle w:val="FootnoteCharacters"/>
          <w:rStyle w:val="FootnoteReference"/>
        </w:rPr>
        <w:footnoteReference w:id="4"/>
      </w:r>
      <w:r>
        <w:rPr/>
        <w:t xml:space="preserve">  As the Commission is well aware, most QFs have not been paid by Southern California Edison Company ("Edison") for their deliveries since November, 2000, and Pacific Gas and Electric Company ("PG&amp;E") since December, 2000.    This is a very serious problem because many QF owners are relatively small entities that do not possess the financial ability to long survive without such payments.  </w:t>
      </w:r>
    </w:p>
    <w:p>
      <w:pPr>
        <w:pStyle w:val="BodyTextNumber"/>
        <w:numPr>
          <w:ilvl w:val="0"/>
          <w:numId w:val="0"/>
        </w:numPr>
        <w:spacing w:lineRule="auto" w:line="480" w:before="0" w:after="0"/>
        <w:ind w:firstLine="720" w:start="0" w:end="0"/>
        <w:rPr/>
      </w:pPr>
      <w:r>
        <w:rPr/>
        <w:t>Further, the California market itself remains in grave jeopardy.  In what has traditionally been a lower-demand period, the State has had to institute rolling blackouts, its major utilities are threatening bankruptcy, and wholesale energy prices have reached unprecedented, high levels.  Neither the Commission nor the State can afford to have nearly the entire QF industry go off-line because utility purchasers are unable to pay for these invaluable power supplies.  In an emergency, such as this, where every available megawatt counts, immediate emergency relief is required to preserve almost one-third of the State's generating capacity.</w:t>
      </w:r>
    </w:p>
    <w:p>
      <w:pPr>
        <w:pStyle w:val="BodyTextNumber"/>
        <w:numPr>
          <w:ilvl w:val="0"/>
          <w:numId w:val="0"/>
        </w:numPr>
        <w:spacing w:lineRule="auto" w:line="480" w:before="0" w:after="0"/>
        <w:ind w:firstLine="720" w:start="0" w:end="0"/>
        <w:rPr/>
      </w:pPr>
      <w:r>
        <w:rPr/>
        <w:t xml:space="preserve">The proposed relief is also necessary because the temporary QF waiver granted in the December Orders has proven inadequate to deal with new and changing circumstances.  The deepening of the California energy crisis over the past two months, as well as certain utility attempts to prevent QF sales into the competitive market, all require that FERC clarify and extend its prior relief.  The Commission should extend the QF waiver and, even more </w:t>
      </w:r>
    </w:p>
    <w:p>
      <w:pPr>
        <w:pStyle w:val="BodyTextNumber"/>
        <w:numPr>
          <w:ilvl w:val="0"/>
          <w:numId w:val="0"/>
        </w:numPr>
        <w:spacing w:lineRule="auto" w:line="480" w:before="0" w:after="0"/>
        <w:ind w:hanging="0" w:start="0"/>
        <w:rPr/>
      </w:pPr>
      <w:r>
        <w:rPr/>
        <w:t xml:space="preserve">importantly, provide specific requirements that sales by QFs to third parties cannot be denied or undermined by utilities or other parties.  </w:t>
      </w:r>
    </w:p>
    <w:p>
      <w:pPr>
        <w:pStyle w:val="BodyTextNumber"/>
        <w:numPr>
          <w:ilvl w:val="0"/>
          <w:numId w:val="0"/>
        </w:numPr>
        <w:spacing w:lineRule="auto" w:line="480" w:before="0" w:after="0"/>
        <w:ind w:firstLine="720" w:start="0" w:end="0"/>
        <w:rPr/>
      </w:pPr>
      <w:r>
        <w:rPr/>
        <w:t>Specific conditioning language is crucial to the success of this remedial measure because, to date, certain utilities have actively resisted QF sales to third parties, claiming they would violate the existing power purchase agreements.  Even though PG&amp;E and Edison are currently unable to pay in full or at all for QF power provided under the PPAs, both have resisted efforts by QFs to make third-party sales.  Despite their own payment breach, these utilities have refused to respond to QF requests to sell and have threatened to terminate PPAs, seek damages, or deny legislative relief to any QF that tries to use the authority granted through the December Orders.  Some prospective third-party buyers of QF generation have indicated that such actions place a cloud on any energy produced by QFs and have also reasonably concluded that even if they signed a contract, the utility could simply refuse to schedule or transmit the QF power.</w:t>
      </w:r>
    </w:p>
    <w:p>
      <w:pPr>
        <w:pStyle w:val="Normal"/>
        <w:spacing w:lineRule="auto" w:line="480"/>
        <w:ind w:firstLine="720" w:end="0"/>
        <w:rPr/>
      </w:pPr>
      <w:r>
        <w:rPr/>
        <w:t xml:space="preserve">The Commission must immediately address this issue or essential QF generation will be lost to California during a critical power shortage period, or possibly longer if the utilities' continued failure to pay forces some QFs into insolvency.  To ensure that all QF power is immediately available to California consumers, the Commission should: </w:t>
      </w:r>
    </w:p>
    <w:p>
      <w:pPr>
        <w:pStyle w:val="ListBullet2"/>
        <w:numPr>
          <w:ilvl w:val="0"/>
          <w:numId w:val="13"/>
        </w:numPr>
        <w:spacing w:lineRule="auto" w:line="480" w:before="0" w:after="0"/>
        <w:rPr/>
      </w:pPr>
      <w:r>
        <w:rPr/>
        <w:t>Extend the QF waivers granted in the December Orders through October 31, 2001.</w:t>
      </w:r>
      <w:r>
        <w:rPr>
          <w:rStyle w:val="FootnoteCharacters"/>
          <w:rStyle w:val="FootnoteReference"/>
        </w:rPr>
        <w:footnoteReference w:id="5"/>
      </w:r>
      <w:r>
        <w:rPr/>
        <w:t xml:space="preserve">   This will allow QFs to operate at maximum capacity without fear of violating FERC's technical QF requirements.</w:t>
      </w:r>
    </w:p>
    <w:p>
      <w:pPr>
        <w:pStyle w:val="Normal"/>
        <w:numPr>
          <w:ilvl w:val="0"/>
          <w:numId w:val="13"/>
        </w:numPr>
        <w:spacing w:lineRule="auto" w:line="480"/>
        <w:rPr/>
      </w:pPr>
      <w:r>
        <w:rPr/>
        <w:t>Clarify that, to the extent any California utility has failed to pay in full for power production provided by its QF supplier since December 8, 2000, such QF shall be permitted to sell up to 100 percent of its power output to any third-party buyer in the State at negotiated rates. Any such temporary QF sales authority shall extend through October 31, 2001, so that QFs and their third-party buyers can form and rely on bilateral contracts throughout the peak period.  After October 31, 2001, the parties will be left in the same position as they were prior to the issuance of this Order.</w:t>
      </w:r>
      <w:r>
        <w:rPr>
          <w:rStyle w:val="FootnoteCharacters"/>
          <w:rStyle w:val="FootnoteReference"/>
        </w:rPr>
        <w:footnoteReference w:id="6"/>
      </w:r>
    </w:p>
    <w:p>
      <w:pPr>
        <w:pStyle w:val="Normal"/>
        <w:numPr>
          <w:ilvl w:val="0"/>
          <w:numId w:val="13"/>
        </w:numPr>
        <w:spacing w:lineRule="auto" w:line="480"/>
        <w:rPr/>
      </w:pPr>
      <w:r>
        <w:rPr/>
        <w:t xml:space="preserve">Clarify that any revenue received by QFs, pursuant to the third-party sales authorized herein, shall not relieve the utilities from their past or future financial obligations under the PPAs but shall mitigate the utilities’ damage liability during the period that the third-party sales take place.  Although these QF sales will not relieve utilities of their payment obligations under the PPAs, consistent with traditional mitigation principles, to the extent any revenues are received from these short-term QF sales, they will be applied to reduce utility payment </w:t>
      </w:r>
    </w:p>
    <w:p>
      <w:pPr>
        <w:pStyle w:val="Normal"/>
        <w:spacing w:lineRule="auto" w:line="480"/>
        <w:ind w:firstLine="720" w:start="720" w:end="0"/>
        <w:rPr/>
      </w:pPr>
      <w:r>
        <w:rPr/>
        <w:t>obligations for the period of such third-party sales.</w:t>
      </w:r>
      <w:r>
        <w:rPr>
          <w:rStyle w:val="FootnoteCharacters"/>
          <w:rStyle w:val="FootnoteReference"/>
        </w:rPr>
        <w:footnoteReference w:id="7"/>
      </w:r>
    </w:p>
    <w:p>
      <w:pPr>
        <w:pStyle w:val="Normal"/>
        <w:numPr>
          <w:ilvl w:val="0"/>
          <w:numId w:val="13"/>
        </w:numPr>
        <w:spacing w:lineRule="auto" w:line="480"/>
        <w:rPr/>
      </w:pPr>
      <w:r>
        <w:rPr/>
        <w:t>Clarify that California utilities cannot deny transmission access to QFs or otherwise frustrate, condition or refuse to schedule or deliver any generation sold by QFs to third-party buyers.</w:t>
      </w:r>
    </w:p>
    <w:p>
      <w:pPr>
        <w:pStyle w:val="Normal"/>
        <w:numPr>
          <w:ilvl w:val="0"/>
          <w:numId w:val="13"/>
        </w:numPr>
        <w:spacing w:lineRule="auto" w:line="480"/>
        <w:rPr/>
      </w:pPr>
      <w:r>
        <w:rPr/>
        <w:t>Clarify that nothing in the Commission’s emergency relief Orders is intended to modify or terminate any existing PPA and that no utility shall block or interrupt any QF sale to a third-party purchaser by threatening a breach of the PPA, or by asserting any other PPA right, defense or impairment.</w:t>
      </w:r>
      <w:r>
        <w:rPr>
          <w:u w:val="single"/>
        </w:rPr>
        <w:t xml:space="preserve">  </w:t>
      </w:r>
    </w:p>
    <w:p>
      <w:pPr>
        <w:pStyle w:val="Normal"/>
        <w:spacing w:lineRule="auto" w:line="480"/>
        <w:ind w:firstLine="720" w:start="1440" w:end="0"/>
        <w:rPr/>
      </w:pPr>
      <w:r>
        <w:rPr/>
        <w:t>The corollary of this requested clarification is that nothing in this request is intended to affect any pending or threatened litigation regarding the PPAs. For many QFs, sales to utilities will continue, pursuant to the PPAs, when utilities regain the ability to pay for this generation.  For other QFs, such as Ridgewood, a Court will ultimately decide whether or not the PPA will be terminated and what damages should be applied. An emergency relief order need not, and should not, address this issue.</w:t>
      </w:r>
    </w:p>
    <w:p>
      <w:pPr>
        <w:pStyle w:val="Normal"/>
        <w:numPr>
          <w:ilvl w:val="0"/>
          <w:numId w:val="13"/>
        </w:numPr>
        <w:spacing w:lineRule="auto" w:line="480"/>
        <w:rPr/>
      </w:pPr>
      <w:r>
        <w:rPr/>
        <w:t>Clarify that all QF sales pursuant to the waiver are strictly voluntary.</w:t>
      </w:r>
      <w:r>
        <w:rPr>
          <w:rStyle w:val="FootnoteCharacters"/>
          <w:rStyle w:val="FootnoteReference"/>
        </w:rPr>
        <w:footnoteReference w:id="8"/>
      </w:r>
    </w:p>
    <w:p>
      <w:pPr>
        <w:pStyle w:val="Normal"/>
        <w:spacing w:lineRule="auto" w:line="480"/>
        <w:ind w:firstLine="720" w:end="0"/>
        <w:rPr>
          <w:b/>
        </w:rPr>
      </w:pPr>
      <w:r>
        <w:rPr/>
        <w:t>In support hereof, Ridgewood states as follows:</w:t>
      </w:r>
    </w:p>
    <w:p>
      <w:pPr>
        <w:pStyle w:val="Normal"/>
        <w:spacing w:lineRule="auto" w:line="480"/>
        <w:rPr>
          <w:b/>
        </w:rPr>
      </w:pPr>
      <w:r>
        <w:rPr>
          <w:b/>
        </w:rPr>
        <w:t>I.</w:t>
        <w:tab/>
        <w:t>COMMUNICATIONS</w:t>
      </w:r>
    </w:p>
    <w:p>
      <w:pPr>
        <w:pStyle w:val="BodyTextNumber"/>
        <w:numPr>
          <w:ilvl w:val="0"/>
          <w:numId w:val="0"/>
        </w:numPr>
        <w:spacing w:lineRule="auto" w:line="480" w:before="0" w:after="0"/>
        <w:ind w:firstLine="720" w:start="0" w:end="0"/>
        <w:rPr/>
      </w:pPr>
      <w:r>
        <w:rPr/>
        <w:t>The names and addresses of the persons upon whom all communications concerning this proceeding should be served are as follows:</w:t>
      </w:r>
    </w:p>
    <w:p>
      <w:pPr>
        <w:pStyle w:val="NormalIndent"/>
        <w:ind w:start="0" w:end="0"/>
        <w:rPr/>
      </w:pPr>
      <w:r>
        <w:rPr>
          <w:rStyle w:val="FootnoteCharacters"/>
          <w:rStyle w:val="FootnoteReference"/>
          <w:rFonts w:eastAsia="Symbol" w:cs="Symbol" w:ascii="Symbol" w:hAnsi="Symbol"/>
        </w:rPr>
        <w:footnoteReference w:customMarkFollows="1" w:id="9"/>
        <w:t></w:t>
      </w:r>
      <w:r>
        <w:rPr/>
        <w:tab/>
        <w:t>Daniel V. Gulino, Esquire</w:t>
        <w:tab/>
        <w:tab/>
        <w:tab/>
        <w:tab/>
        <w:t>Carol A. Smoots, Esquire</w:t>
      </w:r>
    </w:p>
    <w:p>
      <w:pPr>
        <w:pStyle w:val="Normal"/>
        <w:ind w:start="720" w:end="0"/>
        <w:rPr/>
      </w:pPr>
      <w:r>
        <w:rPr/>
        <w:t>General Counsel</w:t>
        <w:tab/>
        <w:tab/>
        <w:tab/>
        <w:tab/>
      </w:r>
      <w:r>
        <w:rPr>
          <w:sz w:val="16"/>
        </w:rPr>
        <w:t>*</w:t>
      </w:r>
      <w:r>
        <w:rPr/>
        <w:tab/>
        <w:t>Ilia Levitine, Esquire</w:t>
      </w:r>
    </w:p>
    <w:p>
      <w:pPr>
        <w:pStyle w:val="Normal"/>
        <w:ind w:start="720" w:end="0"/>
        <w:rPr/>
      </w:pPr>
      <w:r>
        <w:rPr/>
        <w:t>Ridgewood Power LLC</w:t>
        <w:tab/>
        <w:tab/>
        <w:tab/>
        <w:tab/>
        <w:t>McKenna &amp; Cuneo, L.L.P.</w:t>
      </w:r>
    </w:p>
    <w:p>
      <w:pPr>
        <w:pStyle w:val="BodyTextNumber"/>
        <w:numPr>
          <w:ilvl w:val="0"/>
          <w:numId w:val="0"/>
        </w:numPr>
        <w:spacing w:before="0" w:after="0"/>
        <w:ind w:firstLine="720" w:start="0" w:end="0"/>
        <w:rPr/>
      </w:pPr>
      <w:r>
        <w:rPr/>
        <w:t>947 Linwood Avenue</w:t>
        <w:tab/>
        <w:tab/>
        <w:tab/>
        <w:tab/>
        <w:tab/>
        <w:t>1900 K Street, N.W.</w:t>
      </w:r>
    </w:p>
    <w:p>
      <w:pPr>
        <w:pStyle w:val="BodyTextNumber"/>
        <w:numPr>
          <w:ilvl w:val="0"/>
          <w:numId w:val="0"/>
        </w:numPr>
        <w:spacing w:before="0" w:after="0"/>
        <w:ind w:firstLine="720" w:start="0" w:end="0"/>
        <w:rPr/>
      </w:pPr>
      <w:r>
        <w:rPr/>
        <w:t>Ridgewood, New Jersey 07450</w:t>
        <w:tab/>
        <w:tab/>
        <w:tab/>
        <w:t>Washington, DC 20006</w:t>
      </w:r>
    </w:p>
    <w:p>
      <w:pPr>
        <w:pStyle w:val="BodyTextNumber"/>
        <w:numPr>
          <w:ilvl w:val="0"/>
          <w:numId w:val="0"/>
        </w:numPr>
        <w:spacing w:before="0" w:after="0"/>
        <w:ind w:firstLine="720" w:start="0" w:end="0"/>
        <w:rPr/>
      </w:pPr>
      <w:r>
        <w:rPr/>
        <w:t xml:space="preserve">Telephone:  (201) 447-9000 </w:t>
        <w:tab/>
        <w:tab/>
        <w:tab/>
        <w:tab/>
        <w:t>Telephone:  (202) 496-7500</w:t>
      </w:r>
    </w:p>
    <w:p>
      <w:pPr>
        <w:pStyle w:val="BodyTextNumber"/>
        <w:numPr>
          <w:ilvl w:val="0"/>
          <w:numId w:val="0"/>
        </w:numPr>
        <w:spacing w:before="0" w:after="0"/>
        <w:ind w:firstLine="720" w:start="0" w:end="0"/>
        <w:rPr/>
      </w:pPr>
      <w:r>
        <w:rPr/>
        <w:t>Facsimile:  (201) 447-0474</w:t>
        <w:tab/>
        <w:tab/>
        <w:tab/>
        <w:tab/>
        <w:t>Facsimile:  (202) 496-7756</w:t>
      </w:r>
    </w:p>
    <w:p>
      <w:pPr>
        <w:pStyle w:val="BodyTextNumber"/>
        <w:numPr>
          <w:ilvl w:val="0"/>
          <w:numId w:val="0"/>
        </w:numPr>
        <w:spacing w:before="0" w:after="0"/>
        <w:ind w:hanging="0" w:start="0"/>
        <w:rPr/>
      </w:pPr>
      <w:r>
        <w:rPr/>
      </w:r>
    </w:p>
    <w:p>
      <w:pPr>
        <w:pStyle w:val="Normal"/>
        <w:numPr>
          <w:ilvl w:val="0"/>
          <w:numId w:val="16"/>
        </w:numPr>
        <w:spacing w:lineRule="auto" w:line="480"/>
        <w:rPr>
          <w:b/>
        </w:rPr>
      </w:pPr>
      <w:r>
        <w:rPr>
          <w:b/>
        </w:rPr>
        <w:t>REQUEST FOR EMERGENCY RELIEF AND QF WAIVER EXTENSION</w:t>
      </w:r>
    </w:p>
    <w:p>
      <w:pPr>
        <w:pStyle w:val="BodyTextNumber"/>
        <w:numPr>
          <w:ilvl w:val="0"/>
          <w:numId w:val="0"/>
        </w:numPr>
        <w:spacing w:lineRule="auto" w:line="480" w:before="0" w:after="0"/>
        <w:ind w:firstLine="720" w:start="0" w:end="0"/>
        <w:rPr/>
      </w:pPr>
      <w:r>
        <w:rPr/>
        <w:t>The Commission’s decision last December to waive temporarily all QF requirements had the potential to unlock a substantial share of California's underutilized QF generation.  This electricity could have been used to benefit immediately California consumers, and perhaps avoid some of the power shortages and price increases experienced in the State.  Due to intransigence by certain utilities, however, few if any QFs were permitted to use this authority to make third-party sales.  As a consequence, and due to the deepening California energy crisis, the State is now threatened with the loss of almost all of its QF generation.</w:t>
      </w:r>
    </w:p>
    <w:p>
      <w:pPr>
        <w:pStyle w:val="BodyTextNumber"/>
        <w:numPr>
          <w:ilvl w:val="0"/>
          <w:numId w:val="0"/>
        </w:numPr>
        <w:spacing w:lineRule="auto" w:line="480" w:before="0" w:after="0"/>
        <w:ind w:firstLine="720" w:start="0" w:end="0"/>
        <w:rPr/>
      </w:pPr>
      <w:r>
        <w:rPr/>
        <w:t>Since the Commission issued its December Orders, the State's two largest utilities have failed to pay in full (or at all) for November, December, January and February production, and hundreds of megawatts of QF generation have already gone off-line.  Further, because utilities have specifically stated to QFs, as well as others, that no substantial payments under the PPAs should be anticipated for the indefinite future, most remaining QF generation is likely to be idled within a matter of weeks.</w:t>
      </w:r>
      <w:r>
        <w:rPr>
          <w:rStyle w:val="FootnoteCharacters"/>
          <w:rStyle w:val="FootnoteReference"/>
        </w:rPr>
        <w:footnoteReference w:id="10"/>
      </w:r>
      <w:r>
        <w:rPr/>
        <w:t xml:space="preserve">  Once idled it could take weeks or months for these QF facilities to obtain the financing and credit support to come back into service.  This would leave the already strained California market without critical generating resources during the upcoming peak period.   It is noteworthy that even </w:t>
      </w:r>
      <w:r>
        <w:rPr>
          <w:u w:val="single"/>
        </w:rPr>
        <w:t>with</w:t>
      </w:r>
      <w:r>
        <w:rPr/>
        <w:t xml:space="preserve"> QF generation, California is predicting a 5,000 to 10,000 MW shortfall this summer.  </w:t>
      </w:r>
    </w:p>
    <w:p>
      <w:pPr>
        <w:pStyle w:val="BodyTextNumber"/>
        <w:numPr>
          <w:ilvl w:val="0"/>
          <w:numId w:val="0"/>
        </w:numPr>
        <w:spacing w:lineRule="auto" w:line="480" w:before="0" w:after="0"/>
        <w:ind w:firstLine="720" w:start="0" w:end="0"/>
        <w:rPr/>
      </w:pPr>
      <w:r>
        <w:rPr/>
        <w:t xml:space="preserve">To allow the Commission's December Orders to work as intended, and to address the deepening crisis, the Commission should extend and further modify or clarify its relief.  Ridgewood believes the approach set forth herein is fair to all parties, provides maximum value to the consumer, establishes a much needed, temporary regulatory framework, and will help stabilize the short-term energy market while the State and FERC pursue longer term solutions.    </w:t>
      </w:r>
    </w:p>
    <w:p>
      <w:pPr>
        <w:pStyle w:val="BodyTextNumber"/>
        <w:numPr>
          <w:ilvl w:val="0"/>
          <w:numId w:val="0"/>
        </w:numPr>
        <w:spacing w:lineRule="auto" w:line="480" w:before="0" w:after="0"/>
        <w:ind w:firstLine="720" w:start="0" w:end="0"/>
        <w:rPr/>
      </w:pPr>
      <w:r>
        <w:rPr/>
        <w:t>Further, the requested relief will be needed even if California enacts energy legislation that addresses the QF generation problem.  To Ridgewood's knowledge, none of the legislation proposed by the State would immediately enable utilities to pay their outstanding debts to QFs, or pay in full for the power supplies purchased from QFs.  No funding mechanism that would assure QFs of payment has been devised or enacted.  Even if some legislative "fix" is enacted, it could easily take months to implement.</w:t>
      </w:r>
      <w:r>
        <w:rPr>
          <w:rStyle w:val="FootnoteCharacters"/>
          <w:rStyle w:val="FootnoteReference"/>
        </w:rPr>
        <w:footnoteReference w:id="11"/>
      </w:r>
      <w:r>
        <w:rPr/>
        <w:t xml:space="preserve">  The temporary relief requested here will give QFs, utilities and the State the necessary breathing room to develop and implement more permanent solutions.  </w:t>
      </w:r>
    </w:p>
    <w:p>
      <w:pPr>
        <w:pStyle w:val="BodyTextNumber"/>
        <w:numPr>
          <w:ilvl w:val="0"/>
          <w:numId w:val="0"/>
        </w:numPr>
        <w:spacing w:lineRule="auto" w:line="480" w:before="0" w:after="0"/>
        <w:ind w:firstLine="720" w:start="0" w:end="0"/>
        <w:rPr/>
      </w:pPr>
      <w:r>
        <w:rPr/>
        <w:t>The proposed approach may also forestall many imminent QF closures.  Once these QF shut-downs occur, it can take weeks or months to return the facilities to service.  When QFs are forced to close in circumstances such as these, it often means their credit has been exhausted, that lenders will not fund any further obligations until all past loans are brought current, and that gas suppliers are demanding payment before any additional supplies are provided.  In addition, for some QFs it may mean that all but essential maintenance employees have been laid off.</w:t>
      </w:r>
    </w:p>
    <w:p>
      <w:pPr>
        <w:pStyle w:val="BodyTextNumber"/>
        <w:numPr>
          <w:ilvl w:val="0"/>
          <w:numId w:val="0"/>
        </w:numPr>
        <w:spacing w:lineRule="auto" w:line="480" w:before="0" w:after="0"/>
        <w:ind w:firstLine="720" w:start="0" w:end="0"/>
        <w:rPr/>
      </w:pPr>
      <w:r>
        <w:rPr/>
        <w:t>Timely FERC action on the requested extension and clarifications is needed to assure the effectiveness of the Commission’s own remedial measures and to preserve the operations and financial viability of hundreds of QFs.</w:t>
      </w:r>
    </w:p>
    <w:p>
      <w:pPr>
        <w:pStyle w:val="BodyTextNumber"/>
        <w:numPr>
          <w:ilvl w:val="0"/>
          <w:numId w:val="0"/>
        </w:numPr>
        <w:spacing w:lineRule="auto" w:line="480" w:before="0" w:after="0"/>
        <w:ind w:firstLine="720" w:start="0" w:end="0"/>
        <w:rPr>
          <w:b/>
        </w:rPr>
      </w:pPr>
      <w:r>
        <w:rPr>
          <w:b/>
        </w:rPr>
        <w:t>1.</w:t>
        <w:tab/>
        <w:t>FERC Should Extend The QF Waiver Through October 31, 2001.</w:t>
      </w:r>
    </w:p>
    <w:p>
      <w:pPr>
        <w:pStyle w:val="BodyTextNumber"/>
        <w:numPr>
          <w:ilvl w:val="0"/>
          <w:numId w:val="0"/>
        </w:numPr>
        <w:spacing w:lineRule="auto" w:line="480" w:before="0" w:after="0"/>
        <w:ind w:firstLine="720" w:start="0" w:end="0"/>
        <w:rPr/>
      </w:pPr>
      <w:r>
        <w:rPr/>
        <w:t>The requested waiver extension is crucial to alleviating the current electric supply shortages in California.  In adopting Ridgewood’s proposal, the December 8</w:t>
      </w:r>
      <w:r>
        <w:rPr>
          <w:vertAlign w:val="superscript"/>
        </w:rPr>
        <w:t>th</w:t>
      </w:r>
      <w:r>
        <w:rPr/>
        <w:t xml:space="preserve"> Order found that the temporary waiver of QF requirements “will provide for increased efficiency . . . and improved reliability of electric service through increasing the availability of needed capacity.”  </w:t>
      </w:r>
      <w:r>
        <w:rPr>
          <w:u w:val="single"/>
        </w:rPr>
        <w:t>December 8</w:t>
      </w:r>
      <w:r>
        <w:rPr>
          <w:u w:val="single"/>
          <w:vertAlign w:val="superscript"/>
        </w:rPr>
        <w:t>th</w:t>
      </w:r>
      <w:r>
        <w:rPr>
          <w:u w:val="single"/>
        </w:rPr>
        <w:t xml:space="preserve"> Order</w:t>
      </w:r>
      <w:r>
        <w:rPr/>
        <w:t xml:space="preserve">, 93 FERC at 61,773.  The Commission also found that “the situation in California presented evidence of ‘emergencies directly affecting the public health, safety, or welfare, which would result from electric power outages.’”  </w:t>
      </w:r>
      <w:r>
        <w:rPr>
          <w:u w:val="single"/>
        </w:rPr>
        <w:t>Id</w:t>
      </w:r>
      <w:r>
        <w:rPr/>
        <w:t xml:space="preserve">.  These findings were a direct and immediate response to the fact that a substantial portion of QF generating plants were operating below their full capacity at the same time the State was experiencing the worst energy supply crisis in a generation.  The Commission's Orders recognized that all available electric power supply resources needed to be mobilized to help solve the crisis.   </w:t>
      </w:r>
    </w:p>
    <w:p>
      <w:pPr>
        <w:pStyle w:val="BodyTextNumber"/>
        <w:numPr>
          <w:ilvl w:val="0"/>
          <w:numId w:val="0"/>
        </w:numPr>
        <w:spacing w:lineRule="auto" w:line="480" w:before="0" w:after="0"/>
        <w:ind w:firstLine="720" w:start="0" w:end="0"/>
        <w:rPr/>
      </w:pPr>
      <w:r>
        <w:rPr/>
        <w:t xml:space="preserve">While this major premise continues to be as sound today as it was when the Commission issued its December Orders, market conditions have greatly worsened as utilities have stopped paying (at all or in full) for QF generation.  Now, the threat is that most if not all of California's QF generating capacity, over 10,000 MWs, will be lost due to utility non-payments and certain utility actions to prevent third-party sales.  Because the California crisis is continuing, and we are rapidly approaching a summer peak period, when the current shortages may only worsen, the Commission should extend the QF waiver at least through October 31, 2001.  </w:t>
      </w:r>
    </w:p>
    <w:p>
      <w:pPr>
        <w:pStyle w:val="BodyTextNumber"/>
        <w:numPr>
          <w:ilvl w:val="0"/>
          <w:numId w:val="0"/>
        </w:numPr>
        <w:spacing w:lineRule="auto" w:line="480" w:before="0" w:after="0"/>
        <w:ind w:firstLine="720" w:start="0" w:end="0"/>
        <w:rPr/>
      </w:pPr>
      <w:r>
        <w:rPr/>
        <w:t xml:space="preserve">The importance of the continued waiver is highlighted by the fact that both the California Public Utility Commission ("CPUC") and the Governor have requested an extension as well.  In a recent filing, the CPUC stated that the continuation of the QF waiver would “both operate to mitigate prices (i.e. by adding to supply) and help reduce the potential for rotating outages.”  “Comments of the Public Utilities Commission of the State of California Regarding Technical Conference Held January 23, 2001 and Request For Extension of Waiver of QF Regulations,” Docket No. EL00-95-012 (February 6, 2001).  Further, Governor Davis, in his recent letter to Chairman Hebert, also supported the QF extension and emphasized that “it is imperative that cogeneration . . . and small power QFs in California continue to produce at their maximum capabilities.”  Letter From Governor Gray Davis to Chairman Hebert, Docket No. EL00-95-000, </w:t>
      </w:r>
      <w:r>
        <w:rPr>
          <w:u w:val="single"/>
        </w:rPr>
        <w:t>et al</w:t>
      </w:r>
      <w:r>
        <w:rPr/>
        <w:t xml:space="preserve">. (dated February 8, 2001).  As noted by the Governor, “these waivers represent a useful tool for getting California through our seasonal peak demand period.”   </w:t>
      </w:r>
      <w:r>
        <w:rPr>
          <w:u w:val="single"/>
        </w:rPr>
        <w:t>Id</w:t>
      </w:r>
      <w:r>
        <w:rPr/>
        <w:t xml:space="preserve">.   </w:t>
      </w:r>
    </w:p>
    <w:p>
      <w:pPr>
        <w:pStyle w:val="BodyTextNumber"/>
        <w:numPr>
          <w:ilvl w:val="0"/>
          <w:numId w:val="0"/>
        </w:numPr>
        <w:spacing w:lineRule="auto" w:line="480" w:before="0" w:after="0"/>
        <w:ind w:firstLine="720" w:start="0" w:end="0"/>
        <w:rPr/>
      </w:pPr>
      <w:r>
        <w:rPr/>
        <w:t xml:space="preserve">What these requests fail to address, however, is that no QF will "continue to produce at their maximum capabilities," without being paid for such production.  Changing conditions in California require further clarification and relief from this Commission.  In light of the utilities' failure to pay QFs any meaningful revenues for sales from November forward, and in light of certain utility attempts to frustrate any third-party sales,  additional ordering language is required.  In fact, it will not help for FERC merely to waive QF regulations and permit third-party sales if PG&amp;E and Edison can still block this relief by instituting PPA hurdles or by denying QF scheduling and transmission.  To be effective, therefore, the Commission must </w:t>
      </w:r>
      <w:r>
        <w:rPr>
          <w:u w:val="single"/>
        </w:rPr>
        <w:t>both</w:t>
      </w:r>
      <w:r>
        <w:rPr/>
        <w:t xml:space="preserve"> extend the waiver and grant the clarifications and/or modifications requested herein.</w:t>
      </w:r>
    </w:p>
    <w:p>
      <w:pPr>
        <w:pStyle w:val="BodyTextNumber"/>
        <w:numPr>
          <w:ilvl w:val="0"/>
          <w:numId w:val="14"/>
        </w:numPr>
        <w:spacing w:before="0" w:after="0"/>
        <w:rPr>
          <w:b/>
        </w:rPr>
      </w:pPr>
      <w:r>
        <w:rPr>
          <w:b/>
        </w:rPr>
        <w:t>The Commission Should Clarify That QFs Are Permitted To Sell All Of Their Output To Any Willing Buyer If Their Utility Purchaser Has Failed To Pay In Full For QF Production.  The Commission Should Further Clarify That Utilities Cannot Condition Or Deny Sales, Scheduling Or Transmission Access For QF Generation.</w:t>
      </w:r>
    </w:p>
    <w:p>
      <w:pPr>
        <w:pStyle w:val="BodyTextNumber"/>
        <w:numPr>
          <w:ilvl w:val="0"/>
          <w:numId w:val="0"/>
        </w:numPr>
        <w:spacing w:before="0" w:after="0"/>
        <w:ind w:hanging="0" w:start="720" w:end="0"/>
        <w:rPr>
          <w:b/>
        </w:rPr>
      </w:pPr>
      <w:r>
        <w:rPr>
          <w:b/>
        </w:rPr>
      </w:r>
    </w:p>
    <w:p>
      <w:pPr>
        <w:pStyle w:val="BodyTextNumber"/>
        <w:numPr>
          <w:ilvl w:val="0"/>
          <w:numId w:val="0"/>
        </w:numPr>
        <w:spacing w:lineRule="auto" w:line="480" w:before="0" w:after="0"/>
        <w:ind w:firstLine="720" w:start="0" w:end="0"/>
        <w:rPr/>
      </w:pPr>
      <w:r>
        <w:rPr/>
        <w:t xml:space="preserve">While the Commission’s December Orders, perhaps understandably, assumed that the utilities would be willing and able purchasers of the QF output, actual experience has proven otherwise.  Since the Commission issued its Orders, both PG&amp;E and Edison have defaulted on their payment obligations under the PPAs and are now unable to pay for </w:t>
      </w:r>
      <w:r>
        <w:rPr>
          <w:u w:val="single"/>
        </w:rPr>
        <w:t>any</w:t>
      </w:r>
      <w:r>
        <w:rPr/>
        <w:t xml:space="preserve"> generation from QFs.  These problems are well-known to the Commission and have been recited at length in a FERC Order addressing the California ISO’s recent creditworthiness filing.</w:t>
      </w:r>
      <w:r>
        <w:rPr>
          <w:rStyle w:val="FootnoteCharacters"/>
          <w:rStyle w:val="FootnoteReference"/>
        </w:rPr>
        <w:footnoteReference w:id="12"/>
      </w:r>
    </w:p>
    <w:p>
      <w:pPr>
        <w:pStyle w:val="BodyTextNumber"/>
        <w:numPr>
          <w:ilvl w:val="0"/>
          <w:numId w:val="0"/>
        </w:numPr>
        <w:spacing w:lineRule="auto" w:line="480" w:before="0" w:after="0"/>
        <w:ind w:firstLine="720" w:start="0" w:end="0"/>
        <w:rPr/>
      </w:pPr>
      <w:r>
        <w:rPr/>
        <w:t>As FERC noted in the Creditworthiness Order, Edison filed a form with the Securities &amp; Exchange Commission (“SEC”) in January, “disclosing that it would suspend indefinitely certain obligations, including a $215 million payment to the PX and $151 million payment due to the qualifying facilities.”  Creditworthiness Order, at 5.   Edison has also failed to pay Ridgewood's QF facility, and other non-affiliated QFs, anything for deliveries since November, 2000. Similarly, PG&amp;E has refused to pay in full for the December and January deliveries made by QFs under their existing PPAs, including the deliveries made by three Ridgewood QFs.</w:t>
      </w:r>
      <w:r>
        <w:rPr>
          <w:rStyle w:val="FootnoteCharacters"/>
          <w:rStyle w:val="FootnoteReference"/>
        </w:rPr>
        <w:footnoteReference w:id="13"/>
      </w:r>
      <w:r>
        <w:rPr/>
        <w:t xml:space="preserve">   In its notice sent to QF owners, PG&amp;E plainly admitted that it is unable to make full payments under the PPAs.  The utility later stated in its filing with the SEC that it intended to default on payments of over $1 billion due to QFs and the PX. </w:t>
      </w:r>
      <w:r>
        <w:rPr>
          <w:u w:val="single"/>
        </w:rPr>
        <w:t>Id</w:t>
      </w:r>
      <w:r>
        <w:rPr/>
        <w:t>.  Given these extensively documented problems, the Commission should allow QFs to sell 100 percent of their generation to any willing California purchaser, at market-based rates, as long as the utilities continue to be in default under their PPAs.</w:t>
      </w:r>
    </w:p>
    <w:p>
      <w:pPr>
        <w:pStyle w:val="BodyTextNumber"/>
        <w:numPr>
          <w:ilvl w:val="0"/>
          <w:numId w:val="0"/>
        </w:numPr>
        <w:spacing w:lineRule="auto" w:line="480" w:before="0" w:after="0"/>
        <w:ind w:firstLine="720" w:start="0" w:end="0"/>
        <w:rPr/>
      </w:pPr>
      <w:r>
        <w:rPr/>
        <w:t>Such an approach would be consistent with the Creditworthiness Order.  In that decision, FERC rejected the California ISO’s proposal to lower the tariff’s creditworthiness protections for third-party suppliers selling to PG&amp;E and Edison.  As stated by the Commission,</w:t>
      </w:r>
    </w:p>
    <w:p>
      <w:pPr>
        <w:pStyle w:val="BodyTextNumber"/>
        <w:numPr>
          <w:ilvl w:val="0"/>
          <w:numId w:val="0"/>
        </w:numPr>
        <w:spacing w:before="0" w:after="0"/>
        <w:ind w:hanging="0" w:start="720" w:end="0"/>
        <w:rPr/>
      </w:pPr>
      <w:r>
        <w:rPr/>
        <w:t>[t]hird-party suppliers negotiated over, and agreed to do business with the ISO and PX subject to, tariff provisions that included standard financial protections.  We find that by simply lowering the standards for the two large buyers in these markets, the proposed amendments entail an inappropriate unilateral shifting of unacceptable financial risks to both large and small third-party suppliers.  Moreover, we are concerned that a lowering of the financial creditworthiness standard, without some assurance payment for third party sales, would further increase prices paid by consumers.</w:t>
      </w:r>
    </w:p>
    <w:p>
      <w:pPr>
        <w:pStyle w:val="BodyTextNumber"/>
        <w:numPr>
          <w:ilvl w:val="0"/>
          <w:numId w:val="0"/>
        </w:numPr>
        <w:spacing w:before="0" w:after="0"/>
        <w:ind w:hanging="0" w:start="720" w:end="0"/>
        <w:rPr/>
      </w:pPr>
      <w:r>
        <w:rPr/>
      </w:r>
    </w:p>
    <w:p>
      <w:pPr>
        <w:pStyle w:val="BodyTextNumber"/>
        <w:numPr>
          <w:ilvl w:val="0"/>
          <w:numId w:val="0"/>
        </w:numPr>
        <w:spacing w:lineRule="auto" w:line="480" w:before="0" w:after="0"/>
        <w:ind w:hanging="0" w:start="0"/>
        <w:rPr/>
      </w:pPr>
      <w:r>
        <w:rPr/>
        <w:t>Creditworthiness Order, at 11-12.</w:t>
      </w:r>
    </w:p>
    <w:p>
      <w:pPr>
        <w:pStyle w:val="BodyTextNumber"/>
        <w:numPr>
          <w:ilvl w:val="0"/>
          <w:numId w:val="0"/>
        </w:numPr>
        <w:spacing w:lineRule="auto" w:line="480" w:before="0" w:after="0"/>
        <w:ind w:hanging="0" w:start="0"/>
        <w:rPr/>
      </w:pPr>
      <w:r>
        <w:rPr/>
        <w:tab/>
        <w:t xml:space="preserve">Thus, if the goal is to allow QFs to provide their available generation to the market, then they must be free to sell to any creditworthy purchaser.  Any requirement that power sales may take place only between QFs and the nearly bankrupt utilities would virtually ensure that no QF generation is sold unless the utilities have paid their debts to QFs and provided adequate credit assurances.  The Commission should thus clearly state that, under the terms of the waiver, QFs are entitled to sell their available generation to any willing purchaser.  </w:t>
      </w:r>
    </w:p>
    <w:p>
      <w:pPr>
        <w:pStyle w:val="BodyTextNumber"/>
        <w:numPr>
          <w:ilvl w:val="0"/>
          <w:numId w:val="0"/>
        </w:numPr>
        <w:spacing w:lineRule="auto" w:line="480" w:before="0" w:after="0"/>
        <w:ind w:firstLine="720" w:start="0" w:end="0"/>
        <w:rPr/>
      </w:pPr>
      <w:r>
        <w:rPr/>
        <w:t>Moreover, for any such sale to take place, QFs must be assured that they will not be denied access to the utilities’ transmission grid and that their generation will be scheduled and delivered to the purchaser.  Many prospective buyers have expressed concerns that even if they signed a contract, the utility could simply refuse to schedule or transmit the QF generation.  The hostility with which Edison and PG&amp;E have met the Commission's December Orders shows that these concerns are completely justified and that clearly articulated waiver terms are required to keep this relief from being thwarted.  The Commission should therefore explicitly state in its Order that any denial of scheduling or transmission access to QFs will be a violation of the Federal Power Act and Order No. 888.</w:t>
      </w:r>
    </w:p>
    <w:p>
      <w:pPr>
        <w:pStyle w:val="BodyTextNumber"/>
        <w:numPr>
          <w:ilvl w:val="0"/>
          <w:numId w:val="0"/>
        </w:numPr>
        <w:spacing w:lineRule="auto" w:line="480" w:before="0" w:after="0"/>
        <w:ind w:firstLine="720" w:start="0" w:end="0"/>
        <w:rPr/>
      </w:pPr>
      <w:r>
        <w:rPr/>
        <w:t>Finally, it should be noted that nothing in this filing is intended to affect adversely the  legitimate interests of utilities or QFs.  To the contrary, Ridgewood recognizes that for any relief to be effective it must be balanced.  Thus, the Commission could provide, as a mitigation measure and to prevent disputes, that any payment received for any energy sold to a third party under the terms of this requested order would be credited against the utility’s PPA payment obligation for the period that the third-party sales take place. (No mitigation credit would be applied to any past or future sales however.)  Thus, third-party sales would help mitigate the utilities' own damage liability under the PPAs and would assure that all interests are properly considered and protected.</w:t>
      </w:r>
    </w:p>
    <w:p>
      <w:pPr>
        <w:pStyle w:val="BodyTextNumber"/>
        <w:numPr>
          <w:ilvl w:val="0"/>
          <w:numId w:val="14"/>
        </w:numPr>
        <w:spacing w:before="0" w:after="0"/>
        <w:rPr>
          <w:b/>
        </w:rPr>
      </w:pPr>
      <w:r>
        <w:rPr>
          <w:b/>
        </w:rPr>
        <w:t>The Commission Should Clarify That Nothing In Its Orders Is Intended To Modify, Or Terminate Any Power Purchase Agreement And That No Utility Can Block Any Sale By A QF By Asserting Any PPA Defense Or Right Or By Imposing Other Conditions.</w:t>
      </w:r>
    </w:p>
    <w:p>
      <w:pPr>
        <w:pStyle w:val="BodyTextNumber"/>
        <w:numPr>
          <w:ilvl w:val="0"/>
          <w:numId w:val="0"/>
        </w:numPr>
        <w:spacing w:before="0" w:after="0"/>
        <w:ind w:hanging="0" w:start="720" w:end="0"/>
        <w:rPr>
          <w:b/>
        </w:rPr>
      </w:pPr>
      <w:r>
        <w:rPr>
          <w:b/>
        </w:rPr>
      </w:r>
    </w:p>
    <w:p>
      <w:pPr>
        <w:pStyle w:val="Normal"/>
        <w:spacing w:lineRule="auto" w:line="480"/>
        <w:ind w:firstLine="720" w:end="0"/>
        <w:rPr/>
      </w:pPr>
      <w:r>
        <w:rPr/>
        <w:t>Many QFs have been unable to sell their electrical output to third-party buyers, pursuant to the December Orders, due to certain utilities' stonewalling and refusals to effectuate any bilateral contracts.   Both PG&amp;E and Edison have argued that, despite FERC’s Orders, any QF that forms an agreement with a third party will be in breach of its PPA.  According to these utilities, such third-party sales could give them the right to terminate the PPA and/or claim damages.  While these threats may ring hollow in light of these utilities’ own payment defaults, they have still served to place a cloud on QF generation, chill the market and prevent third-party sales by QFs.  For this reason, ordering language stating that the Commission's authorization of third-party sales cannot serve as a basis to claim that the PPA has been modified or terminated is needed.</w:t>
      </w:r>
    </w:p>
    <w:p>
      <w:pPr>
        <w:pStyle w:val="Normal"/>
        <w:spacing w:lineRule="auto" w:line="480"/>
        <w:rPr/>
      </w:pPr>
      <w:r>
        <w:rPr/>
        <w:tab/>
        <w:t xml:space="preserve">It is clear that claims of PPA impairment are baseless.  First, this temporary authority is not intended to abrogate any existing PPA.  Quite to the contrary, by keeping QFs in operation while giving utilities the time to solve their financial problems, FERC is merely acting to protect essential power supplies. </w:t>
      </w:r>
    </w:p>
    <w:p>
      <w:pPr>
        <w:pStyle w:val="Normal"/>
        <w:spacing w:lineRule="auto" w:line="480"/>
        <w:ind w:firstLine="720" w:end="0"/>
        <w:rPr/>
      </w:pPr>
      <w:r>
        <w:rPr/>
        <w:t xml:space="preserve">Second, by granting Ridgewood’s request, FERC is fulfilling its statutory duty under the Federal Power Act to respond to an emergency.  Under the FPA, the Commission may waive certain requirements when “emergencies, directly affecting the public health, safety or welfare” are found to exist.  </w:t>
      </w:r>
      <w:r>
        <w:rPr>
          <w:u w:val="single"/>
        </w:rPr>
        <w:t>See</w:t>
      </w:r>
      <w:r>
        <w:rPr/>
        <w:t xml:space="preserve">  e.g.16 U.S.C. </w:t>
      </w:r>
      <w:r>
        <w:rPr>
          <w:rFonts w:eastAsia="WP TypographicSymbols" w:cs="WP TypographicSymbols" w:ascii="WP TypographicSymbols" w:hAnsi="WP TypographicSymbols"/>
        </w:rPr>
        <w:sym w:font="WP TypographicSymbols" w:char="f027"/>
      </w:r>
      <w:r>
        <w:rPr/>
        <w:t xml:space="preserve"> 796(17)(B); 18 C.F.R. 292.204(b)(2).  In its December Orders, the Commission found that such an emergency was in existence in California and granted the waiver.  December 8</w:t>
      </w:r>
      <w:r>
        <w:rPr>
          <w:vertAlign w:val="superscript"/>
        </w:rPr>
        <w:t>th</w:t>
      </w:r>
      <w:r>
        <w:rPr/>
        <w:t xml:space="preserve"> Order, 93 FERC at 61,773.</w:t>
      </w:r>
      <w:r>
        <w:rPr>
          <w:rStyle w:val="FootnoteCharacters"/>
          <w:rStyle w:val="FootnoteReference"/>
        </w:rPr>
        <w:footnoteReference w:id="14"/>
      </w:r>
      <w:r>
        <w:rPr/>
        <w:t xml:space="preserve">  The Commission further found that the waiver was necessary because it would provide “for increased efficiency in the use of cogeneration facilities and improved reliability of electric service through increasing the availability of needed capacity.”  </w:t>
      </w:r>
      <w:r>
        <w:rPr>
          <w:u w:val="single"/>
        </w:rPr>
        <w:t>Id</w:t>
      </w:r>
      <w:r>
        <w:rPr/>
        <w:t>.  Thus, the Commission should find that there can be no legitimate “PPA impairment” claim on the part of the utilities when QFs are acting pursuant to the Commission’s emergency mandate under the Federal Power Act.</w:t>
      </w:r>
    </w:p>
    <w:p>
      <w:pPr>
        <w:pStyle w:val="Normal"/>
        <w:spacing w:lineRule="auto" w:line="480"/>
        <w:rPr/>
      </w:pPr>
      <w:r>
        <w:rPr/>
        <w:tab/>
        <w:t xml:space="preserve">Finally, no legitimate utility right under any PPA can be currently impaired by QF sales to third parties.  The utilities have already defaulted on their PPA payments to QFs.  In such circumstances, and because the utilities are unable to pay in full or at all for </w:t>
      </w:r>
      <w:r>
        <w:rPr>
          <w:u w:val="single"/>
        </w:rPr>
        <w:t>any</w:t>
      </w:r>
      <w:r>
        <w:rPr/>
        <w:t xml:space="preserve"> power from qualifying facilities, the Commission should assure the market that no legitimate PPA right will be impaired by the temporary third-party sales requested herein.</w:t>
      </w:r>
    </w:p>
    <w:p>
      <w:pPr>
        <w:pStyle w:val="BodyTextNumber"/>
        <w:numPr>
          <w:ilvl w:val="0"/>
          <w:numId w:val="0"/>
        </w:numPr>
        <w:spacing w:lineRule="auto" w:line="480" w:before="0" w:after="0"/>
        <w:ind w:firstLine="720" w:start="0" w:end="0"/>
        <w:rPr/>
      </w:pPr>
      <w:r>
        <w:rPr/>
        <w:t>Accordingly, the Commission should declare that utilities may not block QF sales by asserting PPA rights or other defenses.  To the extent that there are any individual billing disputes under a PPA, including disputes over past invoices, they should be resolved between the affected parties or in the courts.</w:t>
      </w:r>
    </w:p>
    <w:p>
      <w:pPr>
        <w:pStyle w:val="BodyTextNumber"/>
        <w:numPr>
          <w:ilvl w:val="0"/>
          <w:numId w:val="14"/>
        </w:numPr>
        <w:spacing w:before="0" w:after="0"/>
        <w:rPr>
          <w:b/>
        </w:rPr>
      </w:pPr>
      <w:r>
        <w:rPr>
          <w:b/>
        </w:rPr>
        <w:t>The Commission Should Affirm That Any Sales Authorized Under the Terms Of The QF Waiver Are Strictly Voluntary.</w:t>
      </w:r>
    </w:p>
    <w:p>
      <w:pPr>
        <w:pStyle w:val="BodyTextNumber"/>
        <w:numPr>
          <w:ilvl w:val="0"/>
          <w:numId w:val="0"/>
        </w:numPr>
        <w:spacing w:before="0" w:after="0"/>
        <w:ind w:hanging="0" w:start="720" w:end="0"/>
        <w:rPr>
          <w:b/>
        </w:rPr>
      </w:pPr>
      <w:r>
        <w:rPr>
          <w:b/>
        </w:rPr>
      </w:r>
    </w:p>
    <w:p>
      <w:pPr>
        <w:pStyle w:val="BodyTextNumber"/>
        <w:numPr>
          <w:ilvl w:val="0"/>
          <w:numId w:val="0"/>
        </w:numPr>
        <w:spacing w:lineRule="auto" w:line="480" w:before="0" w:after="0"/>
        <w:ind w:firstLine="720" w:start="0" w:end="0"/>
        <w:rPr/>
      </w:pPr>
      <w:r>
        <w:rPr/>
        <w:t>To further ensure that all of the available QF capacity is promptly brought to the market, the Commission should affirm that all sales pursuant to this QF waiver are voluntary.</w:t>
      </w:r>
      <w:r>
        <w:rPr>
          <w:rStyle w:val="FootnoteCharacters"/>
          <w:rStyle w:val="FootnoteReference"/>
        </w:rPr>
        <w:footnoteReference w:id="15"/>
      </w:r>
      <w:r>
        <w:rPr/>
        <w:t xml:space="preserve">  While such a clarification may seem obvious, or even superfluous, many generators are concerned that they could be forced to sell even when it is not economic for them to do so.  The recent DOE orders, for example, make this concern particularly relevant.  If FERC clarifies that QFs are not required to sell under the terms of the waiver, then more generators would be willing to avail themselves of this opportunity.</w:t>
      </w:r>
    </w:p>
    <w:p>
      <w:pPr>
        <w:pStyle w:val="BodyTextNumber"/>
        <w:numPr>
          <w:ilvl w:val="0"/>
          <w:numId w:val="14"/>
        </w:numPr>
        <w:spacing w:lineRule="auto" w:line="480" w:before="0" w:after="0"/>
        <w:rPr>
          <w:b/>
        </w:rPr>
      </w:pPr>
      <w:r>
        <w:rPr>
          <w:b/>
        </w:rPr>
        <w:t>Conclusion</w:t>
      </w:r>
    </w:p>
    <w:p>
      <w:pPr>
        <w:pStyle w:val="BodyTextNumber"/>
        <w:numPr>
          <w:ilvl w:val="0"/>
          <w:numId w:val="0"/>
        </w:numPr>
        <w:spacing w:lineRule="auto" w:line="480" w:before="0" w:after="0"/>
        <w:ind w:firstLine="720" w:start="0" w:end="0"/>
        <w:rPr/>
      </w:pPr>
      <w:r>
        <w:rPr/>
        <w:t>The Commission now has the unique opportunity to release a substantial part of the existing QF generation directly into the California market.  To take advantage of this opportunity, however, FERC must extend its QF waiver through October 31, 2001 and also ensure that QFs are able to sell their available generation to third-party purchasers.  The urgency of this measure is particularly acute in light of both Edison and PG&amp;E's failure to pay their QF suppliers for at least three months, and their statements that payments may not be made for an indefinite future period as well.  Conditioning language is also needed because, to date, these utilities have attempted to thwart the Commission’s previous Orders by preventing QFs from selling their output to third parties. Absent immediate action by the Commission, the majority of  California QF capacity is likely to go off-line in a matter of days or weeks. The Commission has the power to prevent this from happening by granting the clarifications and relief requested herein and by ensuring that the intent and spirit of its December Orders is followed.</w:t>
      </w:r>
    </w:p>
    <w:p>
      <w:pPr>
        <w:pStyle w:val="BodyTextNumber"/>
        <w:numPr>
          <w:ilvl w:val="0"/>
          <w:numId w:val="0"/>
        </w:numPr>
        <w:spacing w:lineRule="auto" w:line="480" w:before="0" w:after="0"/>
        <w:ind w:firstLine="720" w:start="0" w:end="0"/>
        <w:rPr/>
      </w:pPr>
      <w:r>
        <w:rPr>
          <w:b/>
        </w:rPr>
        <w:t>WHEREFORE</w:t>
      </w:r>
      <w:r>
        <w:rPr/>
        <w:t xml:space="preserve">, for the foregoing reasons, Ridgewood Power LLC respectfully requests that the Commission: </w:t>
      </w:r>
    </w:p>
    <w:p>
      <w:pPr>
        <w:pStyle w:val="BodyTextNumber"/>
        <w:numPr>
          <w:ilvl w:val="0"/>
          <w:numId w:val="17"/>
        </w:numPr>
        <w:spacing w:lineRule="auto" w:line="480" w:before="0" w:after="0"/>
        <w:rPr/>
      </w:pPr>
      <w:r>
        <w:rPr/>
        <w:t>Extend the QF waivers granted in the December Orders through October 31, 2001.  This will allow QFs to operate at maximum capacity without fear of violating FERC's technical QF requirements.</w:t>
      </w:r>
    </w:p>
    <w:p>
      <w:pPr>
        <w:pStyle w:val="BodyTextNumber"/>
        <w:numPr>
          <w:ilvl w:val="0"/>
          <w:numId w:val="17"/>
        </w:numPr>
        <w:spacing w:lineRule="auto" w:line="480" w:before="0" w:after="0"/>
        <w:rPr/>
      </w:pPr>
      <w:r>
        <w:rPr/>
        <w:t>Clarify that, to the extent any California utility has failed to pay in full for power production provided by its QF supplier since December 8, 2000, such QF shall be permitted to sell up to 100 percent of its power output to any third-party buyer in the State at negotiated rates. Any such temporary QF sales authority shall extend through October 31, 2001, so that QFs and their third-party buyers can form and rely on bilateral contracts throughout the peak period.  After October 31, 2001, the parties will be left in the same position as they were prior to the issuance of this Order.</w:t>
      </w:r>
    </w:p>
    <w:p>
      <w:pPr>
        <w:pStyle w:val="BodyTextNumber"/>
        <w:numPr>
          <w:ilvl w:val="0"/>
          <w:numId w:val="17"/>
        </w:numPr>
        <w:spacing w:lineRule="auto" w:line="480" w:before="0" w:after="0"/>
        <w:rPr/>
      </w:pPr>
      <w:r>
        <w:rPr/>
        <w:t>Clarify that any revenue received by QFs, pursuant to the third-party sales authorized herein, shall not relieve the utilities from their past or future financial obligations under the PPAs but shall mitigate the utilities’ damage liability during the period that the third-party sales take place.  Although these QF sales will not relieve utilities of their payment obligations under the PPAs, consistent with traditional mitigation principles, to the extent any revenues are received from these short-term QF sales, they will be applied to reduce utility payment obligations for the period of such third-party sales.</w:t>
      </w:r>
    </w:p>
    <w:p>
      <w:pPr>
        <w:pStyle w:val="BodyTextNumber"/>
        <w:numPr>
          <w:ilvl w:val="0"/>
          <w:numId w:val="17"/>
        </w:numPr>
        <w:spacing w:lineRule="auto" w:line="480" w:before="0" w:after="0"/>
        <w:rPr/>
      </w:pPr>
      <w:r>
        <w:rPr/>
        <w:t>Clarify that California utilities cannot deny transmission access to QFs or otherwise frustrate, condition or refuse to schedule or deliver any generation sold by QFs to third-party buyers.</w:t>
      </w:r>
    </w:p>
    <w:p>
      <w:pPr>
        <w:pStyle w:val="BodyTextNumber"/>
        <w:numPr>
          <w:ilvl w:val="0"/>
          <w:numId w:val="17"/>
        </w:numPr>
        <w:spacing w:lineRule="auto" w:line="480" w:before="0" w:after="0"/>
        <w:rPr/>
      </w:pPr>
      <w:r>
        <w:rPr/>
        <w:t>Clarify that nothing in the Commission’s emergency relief Orders is intended to modify or terminate any existing PPA and that no utility shall block or interrupt any QF sale to a third-party purchaser by threatening a breach of the PPA, or by asserting any other PPA right, defense or impairment.</w:t>
      </w:r>
      <w:r>
        <w:rPr>
          <w:u w:val="single"/>
        </w:rPr>
        <w:t xml:space="preserve">  </w:t>
      </w:r>
    </w:p>
    <w:p>
      <w:pPr>
        <w:pStyle w:val="Normal"/>
        <w:spacing w:lineRule="auto" w:line="480"/>
        <w:ind w:firstLine="720" w:end="0"/>
        <w:rPr/>
      </w:pPr>
      <w:r>
        <w:rPr/>
        <w:t>(6)       Clarify that all QF sales pursuant to the waiver are strictly voluntary.</w:t>
      </w:r>
    </w:p>
    <w:p>
      <w:pPr>
        <w:pStyle w:val="Normal"/>
        <w:spacing w:lineRule="atLeast" w:line="240"/>
        <w:ind w:firstLine="720" w:start="3600" w:end="0"/>
        <w:rPr/>
      </w:pPr>
      <w:r>
        <w:rPr/>
        <w:t>Respectfully submitted,</w:t>
      </w:r>
    </w:p>
    <w:p>
      <w:pPr>
        <w:pStyle w:val="Normal"/>
        <w:spacing w:lineRule="atLeast" w:line="240"/>
        <w:rPr/>
      </w:pPr>
      <w:r>
        <w:rPr/>
      </w:r>
    </w:p>
    <w:p>
      <w:pPr>
        <w:pStyle w:val="BodyTextIndent"/>
        <w:spacing w:lineRule="atLeast" w:line="240"/>
        <w:rPr/>
      </w:pPr>
      <w:r>
        <w:rPr/>
      </w:r>
    </w:p>
    <w:p>
      <w:pPr>
        <w:pStyle w:val="BodyTextIndent"/>
        <w:spacing w:lineRule="atLeast" w:line="240"/>
        <w:rPr/>
      </w:pPr>
      <w:r>
        <w:rPr/>
      </w:r>
    </w:p>
    <w:p>
      <w:pPr>
        <w:pStyle w:val="BodyTextIndent"/>
        <w:spacing w:lineRule="atLeast" w:line="240"/>
        <w:rPr/>
      </w:pPr>
      <w:r>
        <w:rPr/>
      </w:r>
    </w:p>
    <w:p>
      <w:pPr>
        <w:pStyle w:val="BodyTextIndent"/>
        <w:spacing w:lineRule="atLeast" w:line="240"/>
        <w:rPr/>
      </w:pPr>
      <w:r>
        <w:rPr/>
        <w:t>___________________________________</w:t>
        <w:br/>
        <w:tab/>
        <w:t>Carol A. Smoots, Esquire</w:t>
      </w:r>
    </w:p>
    <w:p>
      <w:pPr>
        <w:pStyle w:val="Normal"/>
        <w:spacing w:lineRule="atLeast" w:line="240"/>
        <w:ind w:firstLine="720" w:start="3600" w:end="0"/>
        <w:rPr/>
      </w:pPr>
      <w:r>
        <w:rPr/>
        <w:t>Ilia Levitine, Esquire</w:t>
      </w:r>
    </w:p>
    <w:p>
      <w:pPr>
        <w:pStyle w:val="Normal"/>
        <w:spacing w:lineRule="atLeast" w:line="240"/>
        <w:ind w:firstLine="720" w:start="3600" w:end="0"/>
        <w:rPr/>
      </w:pPr>
      <w:r>
        <w:rPr/>
        <w:t>McKenna &amp; Cuneo, L.L.P.</w:t>
      </w:r>
    </w:p>
    <w:p>
      <w:pPr>
        <w:pStyle w:val="Normal"/>
        <w:spacing w:lineRule="atLeast" w:line="240"/>
        <w:ind w:firstLine="720" w:start="3600" w:end="0"/>
        <w:rPr/>
      </w:pPr>
      <w:r>
        <w:rPr/>
        <w:t>1900 K Street, N.W.</w:t>
      </w:r>
    </w:p>
    <w:p>
      <w:pPr>
        <w:pStyle w:val="Normal"/>
        <w:spacing w:lineRule="atLeast" w:line="240"/>
        <w:ind w:firstLine="720" w:start="3600" w:end="0"/>
        <w:rPr/>
      </w:pPr>
      <w:r>
        <w:rPr/>
        <w:t>Washington, D.C. 20006</w:t>
      </w:r>
    </w:p>
    <w:p>
      <w:pPr>
        <w:pStyle w:val="Normal"/>
        <w:spacing w:lineRule="atLeast" w:line="240"/>
        <w:ind w:firstLine="720" w:start="3600" w:end="0"/>
        <w:rPr/>
      </w:pPr>
      <w:r>
        <w:rPr/>
        <w:t>Telephone:  (202) 496-7500</w:t>
      </w:r>
    </w:p>
    <w:p>
      <w:pPr>
        <w:pStyle w:val="Normal"/>
        <w:spacing w:lineRule="atLeast" w:line="240"/>
        <w:ind w:firstLine="720" w:start="3600" w:end="0"/>
        <w:rPr/>
      </w:pPr>
      <w:r>
        <w:rPr/>
      </w:r>
    </w:p>
    <w:p>
      <w:pPr>
        <w:pStyle w:val="Normal"/>
        <w:spacing w:lineRule="atLeast" w:line="240"/>
        <w:ind w:firstLine="720" w:start="3600" w:end="0"/>
        <w:rPr/>
      </w:pPr>
      <w:r>
        <w:rPr/>
        <w:t xml:space="preserve">Counsel for </w:t>
      </w:r>
    </w:p>
    <w:p>
      <w:pPr>
        <w:pStyle w:val="Normal"/>
        <w:spacing w:lineRule="atLeast" w:line="240"/>
        <w:ind w:firstLine="720" w:start="1440" w:end="0"/>
        <w:rPr/>
      </w:pPr>
      <w:r>
        <w:rPr/>
        <w:tab/>
        <w:tab/>
        <w:tab/>
        <w:t>Ridgewood Power LLC</w:t>
      </w:r>
    </w:p>
    <w:p>
      <w:pPr>
        <w:pStyle w:val="Normal"/>
        <w:spacing w:lineRule="atLeast" w:line="240"/>
        <w:rPr/>
      </w:pPr>
      <w:r>
        <w:rPr/>
      </w:r>
    </w:p>
    <w:p>
      <w:pPr>
        <w:pStyle w:val="Normal"/>
        <w:spacing w:lineRule="atLeast" w:line="240"/>
        <w:rPr/>
      </w:pPr>
      <w:r>
        <w:rPr/>
      </w:r>
    </w:p>
    <w:p>
      <w:pPr>
        <w:pStyle w:val="Normal"/>
        <w:spacing w:lineRule="atLeast" w:line="240"/>
        <w:rPr/>
      </w:pPr>
      <w:r>
        <w:rPr/>
        <w:t>DATED:  March 8, 2001</w:t>
      </w:r>
    </w:p>
    <w:p>
      <w:pPr>
        <w:pStyle w:val="Normal"/>
        <w:spacing w:lineRule="atLeast" w:line="240"/>
        <w:rPr/>
      </w:pPr>
      <w:r>
        <w:rPr/>
      </w:r>
    </w:p>
    <w:p>
      <w:pPr>
        <w:pStyle w:val="Normal"/>
        <w:spacing w:lineRule="atLeast" w:line="240"/>
        <w:rPr/>
      </w:pPr>
      <w:r>
        <w:rPr/>
      </w:r>
    </w:p>
    <w:p>
      <w:pPr>
        <w:pStyle w:val="Normal"/>
        <w:spacing w:lineRule="atLeast" w:line="240"/>
        <w:rPr/>
      </w:pPr>
      <w:r>
        <w:rPr/>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spacing w:lineRule="atLeast" w:line="240"/>
        <w:rPr/>
      </w:pPr>
      <w:r>
        <w:rPr/>
      </w:r>
    </w:p>
    <w:p>
      <w:pPr>
        <w:pStyle w:val="Normal"/>
        <w:spacing w:lineRule="atLeast" w:line="240"/>
        <w:ind w:firstLine="720" w:start="2160" w:end="0"/>
        <w:rPr>
          <w:b/>
          <w:u w:val="single"/>
        </w:rPr>
      </w:pPr>
      <w:r>
        <w:rPr>
          <w:b/>
          <w:u w:val="single"/>
        </w:rPr>
        <w:t>CERTIFICATE OF SERVICE</w:t>
      </w:r>
    </w:p>
    <w:p>
      <w:pPr>
        <w:pStyle w:val="Normal"/>
        <w:spacing w:lineRule="atLeast" w:line="240"/>
        <w:jc w:val="center"/>
        <w:rPr/>
      </w:pPr>
      <w:r>
        <w:rPr/>
      </w:r>
    </w:p>
    <w:p>
      <w:pPr>
        <w:pStyle w:val="Normal"/>
        <w:spacing w:lineRule="atLeast" w:line="240"/>
        <w:rPr/>
      </w:pPr>
      <w:r>
        <w:rPr/>
        <w:tab/>
        <w:t xml:space="preserve">I hereby certify that I have this day caused the foregoing to be served upon each </w:t>
      </w:r>
    </w:p>
    <w:p>
      <w:pPr>
        <w:pStyle w:val="Normal"/>
        <w:spacing w:lineRule="atLeast" w:line="240"/>
        <w:rPr/>
      </w:pPr>
      <w:r>
        <w:rPr/>
      </w:r>
    </w:p>
    <w:p>
      <w:pPr>
        <w:pStyle w:val="Normal"/>
        <w:spacing w:lineRule="atLeast" w:line="240"/>
        <w:rPr/>
      </w:pPr>
      <w:r>
        <w:rPr/>
        <w:t xml:space="preserve">person on the Official Service List in this proceeding, pursuant to Rule 2010(a) of the </w:t>
      </w:r>
    </w:p>
    <w:p>
      <w:pPr>
        <w:pStyle w:val="Normal"/>
        <w:spacing w:lineRule="atLeast" w:line="240"/>
        <w:rPr/>
      </w:pPr>
      <w:r>
        <w:rPr/>
      </w:r>
    </w:p>
    <w:p>
      <w:pPr>
        <w:pStyle w:val="Normal"/>
        <w:spacing w:lineRule="atLeast" w:line="240"/>
        <w:rPr/>
      </w:pPr>
      <w:r>
        <w:rPr/>
        <w:t>Commission’s Rules of Practice and Procedure.</w:t>
      </w:r>
    </w:p>
    <w:p>
      <w:pPr>
        <w:pStyle w:val="Normal"/>
        <w:spacing w:lineRule="atLeast" w:line="240"/>
        <w:rPr/>
      </w:pPr>
      <w:r>
        <w:rPr/>
      </w:r>
    </w:p>
    <w:p>
      <w:pPr>
        <w:pStyle w:val="Normal"/>
        <w:spacing w:lineRule="atLeast" w:line="240"/>
        <w:rPr/>
      </w:pPr>
      <w:r>
        <w:rPr/>
        <w:tab/>
        <w:t>Dated at Washington, D.C. this 8th day of March, 2001.</w:t>
      </w:r>
    </w:p>
    <w:p>
      <w:pPr>
        <w:pStyle w:val="Normal"/>
        <w:spacing w:lineRule="atLeast" w:line="240"/>
        <w:rPr/>
      </w:pPr>
      <w:r>
        <w:rPr/>
      </w:r>
    </w:p>
    <w:p>
      <w:pPr>
        <w:pStyle w:val="Normal"/>
        <w:spacing w:lineRule="atLeast" w:line="240"/>
        <w:rPr/>
      </w:pPr>
      <w:r>
        <w:rPr/>
        <w:tab/>
        <w:tab/>
        <w:tab/>
        <w:tab/>
        <w:tab/>
        <w:tab/>
        <w:tab/>
        <w:tab/>
        <w:tab/>
        <w:tab/>
        <w:tab/>
        <w:tab/>
        <w:tab/>
        <w:tab/>
        <w:tab/>
        <w:tab/>
        <w:tab/>
        <w:tab/>
        <w:t>____________________________</w:t>
        <w:br/>
        <w:tab/>
        <w:tab/>
        <w:tab/>
        <w:tab/>
        <w:tab/>
        <w:tab/>
        <w:t>Ilia Levitine</w:t>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p>
      <w:pPr>
        <w:pStyle w:val="Normal"/>
        <w:spacing w:lineRule="atLeast" w:line="240"/>
        <w:rPr/>
      </w:pPr>
      <w:r>
        <w:rPr/>
      </w:r>
    </w:p>
    <w:sectPr>
      <w:footerReference w:type="default" r:id="rId4"/>
      <w:footerReference w:type="first" r:id="rId5"/>
      <w:footnotePr>
        <w:numFmt w:val="decimal"/>
      </w:footnotePr>
      <w:type w:val="nextPage"/>
      <w:pgSz w:w="12240" w:h="15840"/>
      <w:pgMar w:left="1800" w:right="1800" w:gutter="0" w:header="0" w:top="1440"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u w:val="single"/>
        </w:rPr>
        <w:t>See</w:t>
      </w:r>
      <w:r>
        <w:rPr/>
        <w:t xml:space="preserve"> "Order Granting Emergency Waiver For QF Regulations," 93 FERC ¶61,238 (December 8, 2000)("December 8</w:t>
      </w:r>
      <w:r>
        <w:rPr>
          <w:vertAlign w:val="superscript"/>
        </w:rPr>
        <w:t>th</w:t>
      </w:r>
      <w:r>
        <w:rPr/>
        <w:t xml:space="preserve"> Order"); "Order Directing Remedies For California Wholesale Markets," 93 FERC ¶61,294 (December 15, 2000)("December 15</w:t>
      </w:r>
      <w:r>
        <w:rPr>
          <w:vertAlign w:val="superscript"/>
        </w:rPr>
        <w:t>th</w:t>
      </w:r>
      <w:r>
        <w:rPr/>
        <w:t xml:space="preserve"> Order")(collectively "December Orders").</w:t>
      </w:r>
    </w:p>
  </w:footnote>
  <w:footnote w:id="3">
    <w:p>
      <w:pPr>
        <w:pStyle w:val="FootnoteText"/>
        <w:spacing w:before="0" w:after="240"/>
        <w:rPr/>
      </w:pPr>
      <w:r>
        <w:rPr>
          <w:rStyle w:val="FootnoteCharacters"/>
        </w:rPr>
        <w:footnoteRef/>
      </w:r>
      <w:r>
        <w:rPr/>
        <w:t xml:space="preserve"> </w:t>
      </w:r>
      <w:r>
        <w:rPr/>
        <w:t xml:space="preserve">In fact, Ridgewood was forced to close down its three QFs and seek the assistance of the California courts in the face of  Pacific Gas and Electric Company's ("PG&amp;E") continuing payment defaults.  </w:t>
      </w:r>
      <w:r>
        <w:rPr>
          <w:u w:val="single"/>
        </w:rPr>
        <w:t>Sunnyside Cogeneration Partners, L.P., et al. v. Pacific Gas &amp; Electric Company</w:t>
      </w:r>
      <w:r>
        <w:rPr/>
        <w:t xml:space="preserve">, Case No. 318684 (Super. Ct. S.F. County, </w:t>
      </w:r>
      <w:r>
        <w:rPr>
          <w:u w:val="single"/>
        </w:rPr>
        <w:t>filed</w:t>
      </w:r>
      <w:r>
        <w:rPr/>
        <w:t xml:space="preserve"> Feb. 6, 2001).  In its Complaint, Ridgewood has asked the Court to terminate its PPAs and award damages for PG&amp;E's breach. While Ridgewood’s lawsuit against PG&amp;E has no bearing on the instant proceeding, it does highlight the need for immediate action to avoid even further litigation between QFs and their defaulting utility purchasers.</w:t>
      </w:r>
    </w:p>
  </w:footnote>
  <w:footnote w:id="4">
    <w:p>
      <w:pPr>
        <w:pStyle w:val="FootnoteText"/>
        <w:spacing w:before="0" w:after="240"/>
        <w:rPr/>
      </w:pPr>
      <w:r>
        <w:rPr>
          <w:rStyle w:val="FootnoteCharacters"/>
        </w:rPr>
        <w:footnoteRef/>
      </w:r>
      <w:r>
        <w:rPr/>
        <w:t xml:space="preserve"> </w:t>
      </w:r>
      <w:r>
        <w:rPr/>
        <w:t xml:space="preserve">The urgency of this request is highlighted by a report in the March 8, 2001, issue of </w:t>
      </w:r>
      <w:r>
        <w:rPr>
          <w:u w:val="single"/>
        </w:rPr>
        <w:t>Megawatt Daily</w:t>
      </w:r>
      <w:r>
        <w:rPr/>
        <w:t>.  It states that several of the QFs owned by partnerships in which El Paseo Energy has an interest have closed down due to non-payment by the utilities.  This action removes an additional 320 MWs from the California market.  Other closings are discussed in footnote 8 below.</w:t>
      </w:r>
    </w:p>
  </w:footnote>
  <w:footnote w:id="5">
    <w:p>
      <w:pPr>
        <w:pStyle w:val="FootnoteText"/>
        <w:spacing w:before="0" w:after="240"/>
        <w:rPr/>
      </w:pPr>
      <w:r>
        <w:rPr>
          <w:rStyle w:val="FootnoteCharacters"/>
        </w:rPr>
        <w:footnoteRef/>
      </w:r>
      <w:r>
        <w:rPr/>
        <w:t xml:space="preserve"> </w:t>
      </w:r>
      <w:r>
        <w:rPr/>
        <w:t>Although Governor Davis and the CPUC have requested an October 15</w:t>
      </w:r>
      <w:r>
        <w:rPr>
          <w:vertAlign w:val="superscript"/>
        </w:rPr>
        <w:t>th</w:t>
      </w:r>
      <w:r>
        <w:rPr/>
        <w:t xml:space="preserve"> termination date, Ridgewood suggests that the deadline be moved to the end of the month.  Because gas purchases and contracts are generally made on a monthly basis, ending this relief in the middle of the month could add unnecessary costs and difficulties.</w:t>
      </w:r>
    </w:p>
  </w:footnote>
  <w:footnote w:id="6">
    <w:p>
      <w:pPr>
        <w:pStyle w:val="FootnoteText"/>
        <w:spacing w:before="0" w:after="240"/>
        <w:rPr/>
      </w:pPr>
      <w:r>
        <w:rPr>
          <w:rStyle w:val="FootnoteCharacters"/>
        </w:rPr>
        <w:footnoteRef/>
      </w:r>
      <w:r>
        <w:rPr/>
        <w:t xml:space="preserve"> </w:t>
      </w:r>
      <w:r>
        <w:rPr/>
        <w:t>It is assumed that by October 31, 2001, the utilities will have resolved their financial problems and will be able to pay their QF power suppliers.  Should this not be the case, however, an extension may be sought or the Commission can address the problem on its own motion.</w:t>
      </w:r>
    </w:p>
  </w:footnote>
  <w:footnote w:id="7">
    <w:p>
      <w:pPr>
        <w:pStyle w:val="FootnoteText"/>
        <w:spacing w:before="0" w:after="240"/>
        <w:rPr/>
      </w:pPr>
      <w:r>
        <w:rPr>
          <w:rStyle w:val="FootnoteCharacters"/>
        </w:rPr>
        <w:footnoteRef/>
      </w:r>
      <w:r>
        <w:rPr/>
        <w:t xml:space="preserve"> </w:t>
      </w:r>
      <w:r>
        <w:rPr/>
        <w:t>Ridgewood believes it will help avoid disputes if FERC addresses the payment and mitigation issues in its Order. Ridgewood believes the mitigation measures advocated present a fair and measured resolution to this problem.  On the one hand, if QFs believe that any third-party sales revenues will be applied to a utility's past or future payment obligations, the QF may lack the incentive to seek out other buyers and may simply choose to go off-line and allow utility damages to accrue.  On the other hand, because utilities remain liable under their PPAs to the QFs for capacity and other payments, it similarly seems fair that revenues received by QFs pursuant to these temporary third-party sales should be applied to mitigate those liabilities accruing at the time of the third-party sales.  To the extent other payment or breach issues are presented in a particular case, then the parties should either resolve the matter informally or seek the intervention of a court.</w:t>
      </w:r>
    </w:p>
  </w:footnote>
  <w:footnote w:id="8">
    <w:p>
      <w:pPr>
        <w:pStyle w:val="FootnoteText"/>
        <w:spacing w:before="0" w:after="240"/>
        <w:rPr/>
      </w:pPr>
      <w:r>
        <w:rPr>
          <w:rStyle w:val="FootnoteCharacters"/>
        </w:rPr>
        <w:footnoteRef/>
      </w:r>
      <w:r>
        <w:rPr/>
        <w:t xml:space="preserve"> </w:t>
      </w:r>
      <w:r>
        <w:rPr/>
        <w:t xml:space="preserve">It is important that FERC permit but not mandate such QF sales. Many QFs are justifiably concerned that they could be forced to sell at a financial loss.  For example, in </w:t>
      </w:r>
      <w:r>
        <w:rPr>
          <w:u w:val="single"/>
        </w:rPr>
        <w:t>California Independent System Operator Corp. v. Reliant Energy Services, Inc., et al.</w:t>
      </w:r>
      <w:r>
        <w:rPr/>
        <w:t xml:space="preserve">, a Court has ordered certain sellers to continue providing power even though they are not being paid. </w:t>
      </w:r>
      <w:r>
        <w:rPr>
          <w:u w:val="single"/>
        </w:rPr>
        <w:t>California Independent System Operator Corp. v. Reliant Energy Services, Inc.</w:t>
      </w:r>
      <w:r>
        <w:rPr/>
        <w:t>, Case No. 01-0238 (E.D. Cal., filed Feb. 6, 2001). As a practical matter, QFs are simply too small and financially strained to be able to stay in business under any such requirement.  Thus, any Commission Order should permit and facilitate but not mandate sales by QFs.</w:t>
      </w:r>
    </w:p>
  </w:footnote>
  <w:footnote w:id="9">
    <w:p>
      <w:pPr>
        <w:pStyle w:val="FootnoteText"/>
        <w:spacing w:before="0" w:after="240"/>
        <w:rPr/>
      </w:pPr>
      <w:r>
        <w:rPr>
          <w:rStyle w:val="FootnoteCharacters"/>
        </w:rPr>
        <w:t></w:t>
      </w:r>
      <w:r>
        <w:rPr/>
        <w:t xml:space="preserve"> </w:t>
      </w:r>
      <w:r>
        <w:rPr/>
        <w:t xml:space="preserve">Designated to receive service pursuant to Rule 2010.  18 C.F.R. </w:t>
      </w:r>
      <w:r>
        <w:rPr>
          <w:rFonts w:eastAsia="WP TypographicSymbols" w:cs="WP TypographicSymbols" w:ascii="WP TypographicSymbols" w:hAnsi="WP TypographicSymbols"/>
        </w:rPr>
        <w:sym w:font="WP TypographicSymbols" w:char="f027"/>
      </w:r>
      <w:r>
        <w:rPr/>
        <w:t xml:space="preserve"> 385.2010 (2000).</w:t>
      </w:r>
    </w:p>
  </w:footnote>
  <w:footnote w:id="10">
    <w:p>
      <w:pPr>
        <w:pStyle w:val="BodyTextNumber"/>
        <w:numPr>
          <w:ilvl w:val="0"/>
          <w:numId w:val="0"/>
        </w:numPr>
        <w:spacing w:before="0" w:after="0"/>
        <w:ind w:hanging="0" w:start="0"/>
        <w:rPr/>
      </w:pPr>
      <w:r>
        <w:rPr>
          <w:rStyle w:val="FootnoteCharacters"/>
        </w:rPr>
        <w:footnoteRef/>
      </w:r>
      <w:r>
        <w:rPr/>
        <w:t xml:space="preserve"> </w:t>
      </w:r>
      <w:r>
        <w:rPr/>
        <w:t xml:space="preserve">As noted above, Ridgewood itself was forced to shut down three of its own QF facilities on February 6, 2001.  Ridgewood is also aware of many other QFs that have either greatly reduced their generation or have already shut down.  For example, it was recently reported that that at least five cogeneration plants in Kern County, representing over 250 MWs of electric generation, have either reduced their output or shut down completely due to PG&amp;E or Edison's failure to pay under their PPAs. As noted in the report, “the shutdown of those five plants alone have cost California’s energy grid enough power to supply nearly 250,000 homes.”  </w:t>
      </w:r>
      <w:r>
        <w:rPr>
          <w:u w:val="single"/>
        </w:rPr>
        <w:t>See</w:t>
      </w:r>
      <w:r>
        <w:rPr/>
        <w:t xml:space="preserve">, Tim Bragg, </w:t>
      </w:r>
      <w:r>
        <w:rPr>
          <w:u w:val="single"/>
        </w:rPr>
        <w:t>Utility Arrears Force More Kern Power Plants To Shut Down</w:t>
      </w:r>
      <w:r>
        <w:rPr/>
        <w:t xml:space="preserve">, </w:t>
      </w:r>
      <w:r>
        <w:rPr>
          <w:u w:val="single"/>
        </w:rPr>
        <w:t>The Bakersfield Californian</w:t>
      </w:r>
      <w:r>
        <w:rPr/>
        <w:t xml:space="preserve">, March 2, 2001.  The shutdown has also threatened oil production in the area and has put many oil company employees in danger of losing their jobs. </w:t>
      </w:r>
      <w:r>
        <w:rPr>
          <w:u w:val="single"/>
        </w:rPr>
        <w:t>Id.</w:t>
      </w:r>
    </w:p>
    <w:p>
      <w:pPr>
        <w:pStyle w:val="BodyTextNumber"/>
        <w:numPr>
          <w:ilvl w:val="0"/>
          <w:numId w:val="0"/>
        </w:numPr>
        <w:spacing w:before="0" w:after="0"/>
        <w:ind w:hanging="0" w:start="0"/>
        <w:rPr>
          <w:u w:val="single"/>
        </w:rPr>
      </w:pPr>
      <w:r>
        <w:rPr>
          <w:u w:val="single"/>
        </w:rPr>
      </w:r>
    </w:p>
  </w:footnote>
  <w:footnote w:id="11">
    <w:p>
      <w:pPr>
        <w:pStyle w:val="FootnoteText"/>
        <w:spacing w:before="0" w:after="240"/>
        <w:rPr/>
      </w:pPr>
      <w:r>
        <w:rPr>
          <w:rStyle w:val="FootnoteCharacters"/>
        </w:rPr>
        <w:footnoteRef/>
      </w:r>
      <w:r>
        <w:rPr/>
        <w:t xml:space="preserve"> </w:t>
      </w:r>
      <w:r>
        <w:rPr/>
        <w:t>One utility has recently stated publicly that the proposed QF legislation is but one part of a "global" solution to the problem and that all parts of such global solution need to be enacted or put in place for the utilities to regain creditworthy status.  Thus, the QF legislation alone does little, if anything, to solve the QF problem.  It should also be noted that some utilities have taken the position that any QF that sells its output to a third-party purchaser would be disqualified from obtaining any relief that may be provided by any California legislation.  The utilities' hard-line position highlights the need for the Commission to act to ensure that third-party sales by QFs are not hampered by such anti-competitive actions or other artificial constraints.</w:t>
      </w:r>
    </w:p>
  </w:footnote>
  <w:footnote w:id="12">
    <w:p>
      <w:pPr>
        <w:pStyle w:val="FootnoteText"/>
        <w:spacing w:before="0" w:after="240"/>
        <w:rPr/>
      </w:pPr>
      <w:r>
        <w:rPr>
          <w:rStyle w:val="FootnoteCharacters"/>
        </w:rPr>
        <w:footnoteRef/>
      </w:r>
      <w:r>
        <w:rPr/>
        <w:t xml:space="preserve"> “</w:t>
      </w:r>
      <w:r>
        <w:rPr/>
        <w:t xml:space="preserve">Order Addressing Creditworthiness Tariff Provisions Proposed By The California Independent System Operator And California Power Exchange,”  Docket Nos. ER01-889-000, </w:t>
      </w:r>
      <w:r>
        <w:rPr>
          <w:u w:val="single"/>
        </w:rPr>
        <w:t>et al</w:t>
      </w:r>
      <w:r>
        <w:rPr/>
        <w:t>. (February 14, 2001)(“Creditworthiness Order”).</w:t>
      </w:r>
    </w:p>
  </w:footnote>
  <w:footnote w:id="13">
    <w:p>
      <w:pPr>
        <w:pStyle w:val="FootnoteText"/>
        <w:spacing w:before="0" w:after="240"/>
        <w:rPr/>
      </w:pPr>
      <w:r>
        <w:rPr>
          <w:rStyle w:val="FootnoteCharacters"/>
        </w:rPr>
        <w:footnoteRef/>
      </w:r>
      <w:r>
        <w:rPr/>
        <w:t xml:space="preserve"> </w:t>
      </w:r>
      <w:r>
        <w:rPr/>
        <w:t>PG&amp;E paid only 15 percent of the amount owed to the Ridgewood QFs and, based on discussions with other QFs, it appears that all other non-affiliated QFs received a 15 percent payment as well.  Obviously, this is not enough to keep any QF operational for very long.</w:t>
      </w:r>
    </w:p>
  </w:footnote>
  <w:footnote w:id="14">
    <w:p>
      <w:pPr>
        <w:pStyle w:val="FootnoteText"/>
        <w:spacing w:before="0" w:after="240"/>
        <w:rPr/>
      </w:pPr>
      <w:r>
        <w:rPr>
          <w:rStyle w:val="FootnoteCharacters"/>
        </w:rPr>
        <w:footnoteRef/>
      </w:r>
      <w:r>
        <w:rPr/>
        <w:t xml:space="preserve"> </w:t>
      </w:r>
      <w:r>
        <w:rPr/>
        <w:t>To our knowledge, no party challenged that reasoning or sought rehearing on that portion of the Order.</w:t>
      </w:r>
    </w:p>
  </w:footnote>
  <w:footnote w:id="15">
    <w:p>
      <w:pPr>
        <w:pStyle w:val="FootnoteText"/>
        <w:spacing w:before="0" w:after="240"/>
        <w:rPr/>
      </w:pPr>
      <w:r>
        <w:rPr>
          <w:rStyle w:val="FootnoteCharacters"/>
        </w:rPr>
        <w:footnoteRef/>
      </w:r>
      <w:r>
        <w:rPr/>
        <w:t xml:space="preserve"> </w:t>
      </w:r>
      <w:r>
        <w:rPr/>
        <w:t>In addition, Ridgewood is not asking FERC to compel any potential third-party purchaser to buy this QF output. What is sought is the unfettered opportunity to sell to willing and creditworthy third-party buyers for a temporary period.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caps/>
        <w:outline w:val="false"/>
        <w:dstrike w:val="false"/>
        <w:strike w:val="false"/>
        <w:vertAlign w:val="baseline"/>
        <w:position w:val="0"/>
        <w:sz w:val="24"/>
        <w:shadow w:val="false"/>
        <w:u w:val="none"/>
        <w:vanish w:val="false"/>
        <w:color w:val="auto"/>
      </w:rPr>
    </w:lvl>
    <w:lvl w:ilvl="1">
      <w:start w:val="1"/>
      <w:pStyle w:val="Heading2"/>
      <w:numFmt w:val="upperLetter"/>
      <w:lvlText w:val="%2."/>
      <w:lvlJc w:val="start"/>
      <w:pPr>
        <w:tabs>
          <w:tab w:val="num" w:pos="1440"/>
        </w:tabs>
        <w:ind w:start="1440" w:hanging="720"/>
      </w:pPr>
      <w:rPr>
        <w:u w:val="none"/>
      </w:rPr>
    </w:lvl>
    <w:lvl w:ilvl="2">
      <w:start w:val="1"/>
      <w:pStyle w:val="Heading3"/>
      <w:numFmt w:val="decimal"/>
      <w:lvlText w:val="%3."/>
      <w:lvlJc w:val="start"/>
      <w:pPr>
        <w:tabs>
          <w:tab w:val="num" w:pos="2160"/>
        </w:tabs>
        <w:ind w:start="2160" w:hanging="720"/>
      </w:pPr>
      <w:rPr>
        <w:u w:val="none"/>
      </w:rPr>
    </w:lvl>
    <w:lvl w:ilvl="3">
      <w:start w:val="1"/>
      <w:pStyle w:val="Heading4"/>
      <w:numFmt w:val="lowerLetter"/>
      <w:lvlText w:val="%4."/>
      <w:lvlJc w:val="start"/>
      <w:pPr>
        <w:tabs>
          <w:tab w:val="num" w:pos="2880"/>
        </w:tabs>
        <w:ind w:start="2880" w:hanging="720"/>
      </w:pPr>
      <w:rPr>
        <w:u w:val="none"/>
      </w:rPr>
    </w:lvl>
    <w:lvl w:ilvl="4">
      <w:start w:val="1"/>
      <w:pStyle w:val="Heading5"/>
      <w:numFmt w:val="decimal"/>
      <w:lvlText w:val="(%5)"/>
      <w:lvlJc w:val="start"/>
      <w:pPr>
        <w:tabs>
          <w:tab w:val="num" w:pos="3600"/>
        </w:tabs>
        <w:ind w:start="3600" w:hanging="720"/>
      </w:pPr>
      <w:rPr>
        <w:u w:val="none"/>
      </w:rPr>
    </w:lvl>
    <w:lvl w:ilvl="5">
      <w:start w:val="1"/>
      <w:pStyle w:val="Heading6"/>
      <w:numFmt w:val="lowerLetter"/>
      <w:lvlText w:val="(%6)"/>
      <w:lvlJc w:val="start"/>
      <w:pPr>
        <w:tabs>
          <w:tab w:val="num" w:pos="4320"/>
        </w:tabs>
        <w:ind w:start="4320" w:hanging="720"/>
      </w:pPr>
      <w:rPr>
        <w:u w:val="none"/>
      </w:rPr>
    </w:lvl>
    <w:lvl w:ilvl="6">
      <w:start w:val="1"/>
      <w:pStyle w:val="Heading7"/>
      <w:numFmt w:val="lowerRoman"/>
      <w:lvlText w:val="(%7)"/>
      <w:lvlJc w:val="start"/>
      <w:pPr>
        <w:tabs>
          <w:tab w:val="num" w:pos="5040"/>
        </w:tabs>
        <w:ind w:start="5040" w:hanging="720"/>
      </w:pPr>
      <w:rPr>
        <w:u w:val="none"/>
      </w:rPr>
    </w:lvl>
    <w:lvl w:ilvl="7">
      <w:start w:val="1"/>
      <w:pStyle w:val="Heading8"/>
      <w:numFmt w:val="lowerLetter"/>
      <w:lvlText w:val="%8)"/>
      <w:lvlJc w:val="start"/>
      <w:pPr>
        <w:tabs>
          <w:tab w:val="num" w:pos="5760"/>
        </w:tabs>
        <w:ind w:start="5760" w:hanging="720"/>
      </w:pPr>
      <w:rPr>
        <w:u w:val="none"/>
      </w:rPr>
    </w:lvl>
    <w:lvl w:ilvl="8">
      <w:start w:val="1"/>
      <w:pStyle w:val="Heading9"/>
      <w:numFmt w:val="decimal"/>
      <w:lvlText w:val="%9)"/>
      <w:lvlJc w:val="start"/>
      <w:pPr>
        <w:tabs>
          <w:tab w:val="num" w:pos="6480"/>
        </w:tabs>
        <w:ind w:start="6480" w:hanging="720"/>
      </w:pPr>
      <w:rPr>
        <w:u w:val="none"/>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720"/>
      </w:pPr>
    </w:lvl>
  </w:abstractNum>
  <w:abstractNum w:abstractNumId="13">
    <w:lvl w:ilvl="0">
      <w:start w:val="1"/>
      <w:numFmt w:val="decimal"/>
      <w:lvlText w:val="(%1)"/>
      <w:lvlJc w:val="start"/>
      <w:pPr>
        <w:tabs>
          <w:tab w:val="num" w:pos="1440"/>
        </w:tabs>
        <w:ind w:start="1440" w:hanging="720"/>
      </w:pPr>
      <w:rPr/>
    </w:lvl>
  </w:abstractNum>
  <w:abstractNum w:abstractNumId="14">
    <w:lvl w:ilvl="0">
      <w:start w:val="2"/>
      <w:numFmt w:val="decimal"/>
      <w:lvlText w:val="%1."/>
      <w:lvlJc w:val="start"/>
      <w:pPr>
        <w:tabs>
          <w:tab w:val="num" w:pos="1440"/>
        </w:tabs>
        <w:ind w:start="1440" w:hanging="720"/>
      </w:pPr>
      <w:rPr/>
    </w:lvl>
  </w:abstractNum>
  <w:abstractNum w:abstractNumId="15">
    <w:lvl w:ilvl="0">
      <w:start w:val="5"/>
      <w:numFmt w:val="lowerRoman"/>
      <w:lvlText w:val="%1."/>
      <w:lvlJc w:val="start"/>
      <w:pPr>
        <w:tabs>
          <w:tab w:val="num" w:pos="5040"/>
        </w:tabs>
        <w:ind w:start="5040" w:hanging="4320"/>
      </w:pPr>
      <w:rPr/>
    </w:lvl>
  </w:abstractNum>
  <w:abstractNum w:abstractNumId="16">
    <w:lvl w:ilvl="0">
      <w:start w:val="2"/>
      <w:numFmt w:val="upperRoman"/>
      <w:lvlText w:val="%1."/>
      <w:lvlJc w:val="start"/>
      <w:pPr>
        <w:tabs>
          <w:tab w:val="num" w:pos="720"/>
        </w:tabs>
        <w:ind w:start="720" w:hanging="720"/>
      </w:pPr>
      <w:rPr/>
    </w:lvl>
  </w:abstractNum>
  <w:abstractNum w:abstractNumId="17">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u w:val="single"/>
    </w:rPr>
  </w:style>
  <w:style w:type="paragraph" w:styleId="Heading2">
    <w:name w:val="heading 2"/>
    <w:basedOn w:val="Heading1"/>
    <w:next w:val="BodyText"/>
    <w:qFormat/>
    <w:pPr>
      <w:numPr>
        <w:ilvl w:val="1"/>
        <w:numId w:val="1"/>
      </w:numPr>
      <w:outlineLvl w:val="1"/>
    </w:pPr>
    <w:rPr>
      <w:caps w:val="false"/>
      <w:smallCaps w:val="false"/>
      <w:u w:val="none"/>
    </w:rPr>
  </w:style>
  <w:style w:type="paragraph" w:styleId="Heading3">
    <w:name w:val="heading 3"/>
    <w:basedOn w:val="Heading2"/>
    <w:next w:val="BodyText"/>
    <w:qFormat/>
    <w:pPr>
      <w:numPr>
        <w:ilvl w:val="2"/>
        <w:numId w:val="1"/>
      </w:numPr>
      <w:outlineLvl w:val="2"/>
    </w:pPr>
    <w:rPr>
      <w:b w:val="false"/>
      <w:u w:val="single"/>
    </w:rPr>
  </w:style>
  <w:style w:type="paragraph" w:styleId="Heading4">
    <w:name w:val="heading 4"/>
    <w:basedOn w:val="Heading2"/>
    <w:next w:val="BodyText"/>
    <w:qFormat/>
    <w:pPr>
      <w:numPr>
        <w:ilvl w:val="3"/>
        <w:numId w:val="1"/>
      </w:numPr>
      <w:outlineLvl w:val="3"/>
    </w:pPr>
    <w:rPr>
      <w:b w:val="false"/>
    </w:rPr>
  </w:style>
  <w:style w:type="paragraph" w:styleId="Heading5">
    <w:name w:val="heading 5"/>
    <w:basedOn w:val="Heading2"/>
    <w:next w:val="BodyText"/>
    <w:qFormat/>
    <w:pPr>
      <w:numPr>
        <w:ilvl w:val="4"/>
        <w:numId w:val="1"/>
      </w:numPr>
      <w:outlineLvl w:val="4"/>
    </w:pPr>
    <w:rPr>
      <w:b w:val="false"/>
    </w:rPr>
  </w:style>
  <w:style w:type="paragraph" w:styleId="Heading6">
    <w:name w:val="heading 6"/>
    <w:basedOn w:val="Heading2"/>
    <w:next w:val="BodyText"/>
    <w:qFormat/>
    <w:pPr>
      <w:numPr>
        <w:ilvl w:val="5"/>
        <w:numId w:val="1"/>
      </w:numPr>
      <w:outlineLvl w:val="5"/>
    </w:pPr>
    <w:rPr>
      <w:b w:val="false"/>
    </w:rPr>
  </w:style>
  <w:style w:type="paragraph" w:styleId="Heading7">
    <w:name w:val="heading 7"/>
    <w:basedOn w:val="Heading2"/>
    <w:next w:val="BodyText"/>
    <w:qFormat/>
    <w:pPr>
      <w:numPr>
        <w:ilvl w:val="6"/>
        <w:numId w:val="1"/>
      </w:numPr>
      <w:outlineLvl w:val="6"/>
    </w:pPr>
    <w:rPr>
      <w:b w:val="false"/>
    </w:rPr>
  </w:style>
  <w:style w:type="paragraph" w:styleId="Heading8">
    <w:name w:val="heading 8"/>
    <w:basedOn w:val="Heading2"/>
    <w:next w:val="BodyText"/>
    <w:qFormat/>
    <w:pPr>
      <w:numPr>
        <w:ilvl w:val="7"/>
        <w:numId w:val="1"/>
      </w:numPr>
      <w:outlineLvl w:val="7"/>
    </w:pPr>
    <w:rPr>
      <w:b w:val="false"/>
    </w:rPr>
  </w:style>
  <w:style w:type="paragraph" w:styleId="Heading9">
    <w:name w:val="heading 9"/>
    <w:basedOn w:val="Heading2"/>
    <w:next w:val="BodyText"/>
    <w:qFormat/>
    <w:pPr>
      <w:numPr>
        <w:ilvl w:val="8"/>
        <w:numId w:val="1"/>
      </w:numPr>
      <w:outlineLvl w:val="8"/>
    </w:pPr>
    <w:rPr>
      <w:b w:val="fals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caps/>
      <w:strike w:val="false"/>
      <w:dstrike w:val="false"/>
      <w:outline w:val="false"/>
      <w:shadow w:val="false"/>
      <w:vanish w:val="false"/>
      <w:color w:val="auto"/>
      <w:position w:val="0"/>
      <w:sz w:val="24"/>
      <w:u w:val="none"/>
      <w:vertAlign w:val="baseline"/>
    </w:rPr>
  </w:style>
  <w:style w:type="character" w:styleId="WW8Num15z1">
    <w:name w:val="WW8Num15z1"/>
    <w:qFormat/>
    <w:rPr>
      <w:u w:val="none"/>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DefaultParagraphFont">
    <w:name w:val="Default Paragraph Font"/>
    <w:qFormat/>
    <w:rPr/>
  </w:style>
  <w:style w:type="character" w:styleId="EndnoteCharacters">
    <w:name w:val="Endnote Characters"/>
    <w:basedOn w:val="DefaultParagraphFont"/>
    <w:qFormat/>
    <w:rPr>
      <w:sz w:val="24"/>
      <w:u w:val="none"/>
      <w:vertAlign w:val="superscript"/>
    </w:rPr>
  </w:style>
  <w:style w:type="character" w:styleId="FootnoteCharacters">
    <w:name w:val="Footnote Characters"/>
    <w:basedOn w:val="DefaultParagraphFont"/>
    <w:qFormat/>
    <w:rPr>
      <w:vertAlign w:val="superscript"/>
    </w:rPr>
  </w:style>
  <w:style w:type="character" w:styleId="LineNumber">
    <w:name w:val="line number"/>
    <w:basedOn w:val="DefaultParagraphFont"/>
    <w:rPr/>
  </w:style>
  <w:style w:type="character" w:styleId="PageNumber">
    <w:name w:val="page number"/>
    <w:basedOn w:val="DefaultParagraphFont"/>
    <w:rPr/>
  </w:style>
  <w:style w:type="character" w:styleId="ReferenceSlash">
    <w:name w:val="Reference Slash"/>
    <w:basedOn w:val="FootnoteCharacters"/>
    <w:qFormat/>
    <w:rPr>
      <w:u w:val="non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keepLines/>
      <w:spacing w:before="240" w:after="240"/>
      <w:ind w:hanging="0" w:start="720" w:end="720"/>
      <w:jc w:val="center"/>
      <w:outlineLvl w:val="0"/>
    </w:pPr>
    <w:rPr>
      <w:b/>
      <w:caps/>
    </w:rPr>
  </w:style>
  <w:style w:type="paragraph" w:styleId="BodyText">
    <w:name w:val="Body Text"/>
    <w:basedOn w:val="Normal"/>
    <w:pPr>
      <w:spacing w:before="0" w:after="240"/>
      <w:ind w:firstLine="720" w:start="0" w:end="0"/>
    </w:pPr>
    <w:rPr/>
  </w:style>
  <w:style w:type="paragraph" w:styleId="List">
    <w:name w:val="List"/>
    <w:basedOn w:val="Normal"/>
    <w:pPr>
      <w:spacing w:before="0" w:after="240"/>
      <w:ind w:hanging="720" w:start="720" w:end="0"/>
    </w:pPr>
    <w:rPr>
      <w:sz w:val="24"/>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Number">
    <w:name w:val="Body Text Number"/>
    <w:basedOn w:val="BodyText"/>
    <w:qFormat/>
    <w:pPr>
      <w:numPr>
        <w:ilvl w:val="0"/>
        <w:numId w:val="12"/>
      </w:numPr>
      <w:tabs>
        <w:tab w:val="clear" w:pos="720"/>
      </w:tabs>
      <w:ind w:firstLine="720" w:start="0" w:end="0"/>
    </w:pPr>
    <w:rPr/>
  </w:style>
  <w:style w:type="paragraph" w:styleId="BodyTextLeft">
    <w:name w:val="BodyTextLeft"/>
    <w:basedOn w:val="BodyText"/>
    <w:next w:val="BodyText"/>
    <w:qFormat/>
    <w:pPr>
      <w:ind w:hanging="0" w:start="0" w:end="0"/>
    </w:pPr>
    <w:rPr/>
  </w:style>
  <w:style w:type="paragraph" w:styleId="EndnoteText">
    <w:name w:val="endnote text"/>
    <w:basedOn w:val="Normal"/>
    <w:pPr>
      <w:spacing w:before="0" w:after="240"/>
    </w:pPr>
    <w:rPr>
      <w:sz w:val="24"/>
    </w:rPr>
  </w:style>
  <w:style w:type="paragraph" w:styleId="FootContNext">
    <w:name w:val="FootContNext"/>
    <w:basedOn w:val="Normal"/>
    <w:next w:val="FootnoteText"/>
    <w:qFormat/>
    <w:pPr>
      <w:spacing w:before="120" w:after="0"/>
      <w:jc w:val="end"/>
    </w:pPr>
    <w:rPr>
      <w:i/>
      <w:sz w:val="18"/>
    </w:rPr>
  </w:style>
  <w:style w:type="paragraph" w:styleId="FootnoteText">
    <w:name w:val="footnote text"/>
    <w:basedOn w:val="Normal"/>
    <w:pPr>
      <w:spacing w:before="0" w:after="240"/>
    </w:pPr>
    <w:rPr>
      <w:sz w:val="24"/>
    </w:rPr>
  </w:style>
  <w:style w:type="paragraph" w:styleId="FootContPrev">
    <w:name w:val="FootContPrev"/>
    <w:basedOn w:val="Normal"/>
    <w:next w:val="FootnoteText"/>
    <w:qFormat/>
    <w:pPr>
      <w:keepNext w:val="true"/>
      <w:spacing w:before="0" w:after="120"/>
    </w:pPr>
    <w:rPr>
      <w:i/>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24"/>
    </w:rPr>
  </w:style>
  <w:style w:type="paragraph" w:styleId="Header">
    <w:name w:val="header"/>
    <w:basedOn w:val="Normal"/>
    <w:pPr>
      <w:tabs>
        <w:tab w:val="clear" w:pos="720"/>
        <w:tab w:val="center" w:pos="4680" w:leader="none"/>
        <w:tab w:val="right" w:pos="9360" w:leader="none"/>
      </w:tabs>
    </w:pPr>
    <w:rPr>
      <w:sz w:val="24"/>
    </w:rPr>
  </w:style>
  <w:style w:type="paragraph" w:styleId="Indent1">
    <w:name w:val="Indent 1"/>
    <w:basedOn w:val="Normal"/>
    <w:qFormat/>
    <w:pPr>
      <w:spacing w:before="0" w:after="240"/>
      <w:ind w:hanging="0" w:start="720" w:end="0"/>
    </w:pPr>
    <w:rPr>
      <w:sz w:val="24"/>
    </w:rPr>
  </w:style>
  <w:style w:type="paragraph" w:styleId="Indent2">
    <w:name w:val="Indent 2"/>
    <w:basedOn w:val="Normal"/>
    <w:qFormat/>
    <w:pPr>
      <w:spacing w:before="0" w:after="240"/>
      <w:ind w:hanging="0" w:start="1440" w:end="0"/>
    </w:pPr>
    <w:rPr>
      <w:sz w:val="24"/>
    </w:rPr>
  </w:style>
  <w:style w:type="paragraph" w:styleId="Indent3">
    <w:name w:val="Indent 3"/>
    <w:basedOn w:val="Normal"/>
    <w:qFormat/>
    <w:pPr>
      <w:spacing w:before="0" w:after="240"/>
      <w:ind w:hanging="0" w:start="2160" w:end="0"/>
    </w:pPr>
    <w:rPr>
      <w:sz w:val="24"/>
    </w:rPr>
  </w:style>
  <w:style w:type="paragraph" w:styleId="Indent4">
    <w:name w:val="Indent 4"/>
    <w:basedOn w:val="Normal"/>
    <w:qFormat/>
    <w:pPr>
      <w:spacing w:before="0" w:after="240"/>
      <w:ind w:hanging="0" w:start="2880" w:end="0"/>
    </w:pPr>
    <w:rPr>
      <w:sz w:val="24"/>
    </w:rPr>
  </w:style>
  <w:style w:type="paragraph" w:styleId="Indent5">
    <w:name w:val="Indent 5"/>
    <w:basedOn w:val="Normal"/>
    <w:qFormat/>
    <w:pPr>
      <w:spacing w:before="0" w:after="240"/>
      <w:ind w:hanging="0" w:start="3600" w:end="0"/>
    </w:pPr>
    <w:rPr>
      <w:sz w:val="24"/>
    </w:rPr>
  </w:style>
  <w:style w:type="paragraph" w:styleId="Indent6">
    <w:name w:val="Indent 6"/>
    <w:basedOn w:val="Normal"/>
    <w:qFormat/>
    <w:pPr>
      <w:spacing w:before="0" w:after="240"/>
      <w:ind w:hanging="0" w:start="4320" w:end="0"/>
    </w:pPr>
    <w:rPr>
      <w:sz w:val="24"/>
    </w:rPr>
  </w:style>
  <w:style w:type="paragraph" w:styleId="Indent7">
    <w:name w:val="Indent 7"/>
    <w:basedOn w:val="Normal"/>
    <w:qFormat/>
    <w:pPr>
      <w:spacing w:before="0" w:after="240"/>
      <w:ind w:hanging="0" w:start="5040" w:end="0"/>
    </w:pPr>
    <w:rPr>
      <w:sz w:val="24"/>
    </w:rPr>
  </w:style>
  <w:style w:type="paragraph" w:styleId="Indent8">
    <w:name w:val="Indent 8"/>
    <w:basedOn w:val="Normal"/>
    <w:qFormat/>
    <w:pPr>
      <w:spacing w:before="0" w:after="240"/>
      <w:ind w:hanging="0" w:start="5760" w:end="0"/>
    </w:pPr>
    <w:rPr>
      <w:sz w:val="24"/>
    </w:rPr>
  </w:style>
  <w:style w:type="paragraph" w:styleId="Indent9">
    <w:name w:val="Indent 9"/>
    <w:basedOn w:val="Normal"/>
    <w:qFormat/>
    <w:pPr>
      <w:spacing w:before="0" w:after="240"/>
      <w:ind w:hanging="0" w:start="6480" w:end="0"/>
    </w:pPr>
    <w:rPr>
      <w:sz w:val="24"/>
    </w:rPr>
  </w:style>
  <w:style w:type="paragraph" w:styleId="Index6">
    <w:name w:val="Index 6"/>
    <w:basedOn w:val="Normal"/>
    <w:next w:val="Normal"/>
    <w:qFormat/>
    <w:pPr>
      <w:ind w:hanging="240" w:start="1440" w:end="0"/>
    </w:pPr>
    <w:rPr>
      <w:sz w:val="24"/>
    </w:rPr>
  </w:style>
  <w:style w:type="paragraph" w:styleId="Interrogatory">
    <w:name w:val="Interrogatory"/>
    <w:basedOn w:val="Normal"/>
    <w:next w:val="BodyText"/>
    <w:qFormat/>
    <w:pPr>
      <w:keepNext w:val="true"/>
      <w:spacing w:lineRule="auto" w:line="480"/>
    </w:pPr>
    <w:rPr>
      <w:b/>
      <w:u w:val="single"/>
    </w:rPr>
  </w:style>
  <w:style w:type="paragraph" w:styleId="ListBullet2">
    <w:name w:val="List Bullet 2"/>
    <w:basedOn w:val="Lis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List6">
    <w:name w:val="List 6"/>
    <w:basedOn w:val="ListBullet5"/>
    <w:qFormat/>
    <w:pPr>
      <w:ind w:hanging="720" w:start="4320" w:end="0"/>
    </w:pPr>
    <w:rPr/>
  </w:style>
  <w:style w:type="paragraph" w:styleId="ListBullet">
    <w:name w:val="List Bullet"/>
    <w:basedOn w:val="Normal"/>
    <w:qFormat/>
    <w:pPr>
      <w:numPr>
        <w:ilvl w:val="0"/>
        <w:numId w:val="11"/>
      </w:numPr>
      <w:tabs>
        <w:tab w:val="clear" w:pos="720"/>
      </w:tabs>
      <w:spacing w:before="0" w:after="240"/>
      <w:ind w:hanging="720" w:start="720" w:end="0"/>
    </w:pPr>
    <w:rPr>
      <w:sz w:val="24"/>
    </w:rPr>
  </w:style>
  <w:style w:type="paragraph" w:styleId="ListBullet21">
    <w:name w:val="List Bullet 21"/>
    <w:basedOn w:val="Normal"/>
    <w:qFormat/>
    <w:pPr>
      <w:numPr>
        <w:ilvl w:val="0"/>
        <w:numId w:val="9"/>
      </w:numPr>
      <w:tabs>
        <w:tab w:val="clear" w:pos="720"/>
      </w:tabs>
      <w:spacing w:before="0" w:after="240"/>
      <w:ind w:hanging="720" w:start="1440" w:end="0"/>
    </w:pPr>
    <w:rPr>
      <w:sz w:val="24"/>
    </w:rPr>
  </w:style>
  <w:style w:type="paragraph" w:styleId="ListBullet31">
    <w:name w:val="List Bullet 31"/>
    <w:basedOn w:val="Normal"/>
    <w:qFormat/>
    <w:pPr>
      <w:numPr>
        <w:ilvl w:val="0"/>
        <w:numId w:val="8"/>
      </w:numPr>
      <w:tabs>
        <w:tab w:val="clear" w:pos="720"/>
      </w:tabs>
      <w:spacing w:before="0" w:after="240"/>
      <w:ind w:hanging="720" w:start="2160" w:end="0"/>
    </w:pPr>
    <w:rPr>
      <w:sz w:val="24"/>
    </w:rPr>
  </w:style>
  <w:style w:type="paragraph" w:styleId="ListBullet41">
    <w:name w:val="List Bullet 41"/>
    <w:basedOn w:val="Normal"/>
    <w:qFormat/>
    <w:pPr>
      <w:numPr>
        <w:ilvl w:val="0"/>
        <w:numId w:val="7"/>
      </w:numPr>
      <w:tabs>
        <w:tab w:val="clear" w:pos="720"/>
      </w:tabs>
      <w:spacing w:before="0" w:after="240"/>
      <w:ind w:hanging="720" w:start="2880" w:end="0"/>
    </w:pPr>
    <w:rPr>
      <w:sz w:val="24"/>
    </w:rPr>
  </w:style>
  <w:style w:type="paragraph" w:styleId="ListBullet51">
    <w:name w:val="List Bullet 51"/>
    <w:basedOn w:val="Normal"/>
    <w:qFormat/>
    <w:pPr>
      <w:numPr>
        <w:ilvl w:val="0"/>
        <w:numId w:val="6"/>
      </w:numPr>
      <w:tabs>
        <w:tab w:val="clear" w:pos="720"/>
      </w:tabs>
      <w:spacing w:before="0" w:after="240"/>
      <w:ind w:hanging="720" w:start="3600" w:end="0"/>
    </w:pPr>
    <w:rPr>
      <w:sz w:val="24"/>
    </w:rPr>
  </w:style>
  <w:style w:type="paragraph" w:styleId="ListNumber">
    <w:name w:val="List Number"/>
    <w:basedOn w:val="Normal"/>
    <w:qFormat/>
    <w:pPr>
      <w:numPr>
        <w:ilvl w:val="0"/>
        <w:numId w:val="10"/>
      </w:numPr>
      <w:tabs>
        <w:tab w:val="left" w:pos="720" w:leader="none"/>
      </w:tabs>
      <w:spacing w:lineRule="atLeast" w:line="240" w:before="0" w:after="240"/>
      <w:ind w:hanging="720" w:start="720" w:end="0"/>
    </w:pPr>
    <w:rPr>
      <w:sz w:val="24"/>
    </w:rPr>
  </w:style>
  <w:style w:type="paragraph" w:styleId="ListNumber2">
    <w:name w:val="List Number 2"/>
    <w:basedOn w:val="ListNumber"/>
    <w:qFormat/>
    <w:pPr>
      <w:numPr>
        <w:ilvl w:val="0"/>
        <w:numId w:val="5"/>
      </w:numPr>
      <w:tabs>
        <w:tab w:val="clear" w:pos="720"/>
        <w:tab w:val="left" w:pos="1440" w:leader="none"/>
      </w:tabs>
      <w:ind w:hanging="720" w:start="1440" w:end="0"/>
    </w:pPr>
    <w:rPr/>
  </w:style>
  <w:style w:type="paragraph" w:styleId="ListNumber3">
    <w:name w:val="List Number 3"/>
    <w:basedOn w:val="ListNumber2"/>
    <w:qFormat/>
    <w:pPr>
      <w:numPr>
        <w:ilvl w:val="0"/>
        <w:numId w:val="4"/>
      </w:numPr>
      <w:tabs>
        <w:tab w:val="clear" w:pos="1440"/>
        <w:tab w:val="left" w:pos="2160" w:leader="none"/>
      </w:tabs>
      <w:ind w:hanging="720" w:start="2160" w:end="0"/>
    </w:pPr>
    <w:rPr/>
  </w:style>
  <w:style w:type="paragraph" w:styleId="ListNumber4">
    <w:name w:val="List Number 4"/>
    <w:basedOn w:val="ListNumber3"/>
    <w:qFormat/>
    <w:pPr>
      <w:numPr>
        <w:ilvl w:val="0"/>
        <w:numId w:val="3"/>
      </w:numPr>
      <w:tabs>
        <w:tab w:val="clear" w:pos="2160"/>
        <w:tab w:val="left" w:pos="2880" w:leader="none"/>
      </w:tabs>
      <w:ind w:hanging="720" w:start="2880" w:end="0"/>
    </w:pPr>
    <w:rPr/>
  </w:style>
  <w:style w:type="paragraph" w:styleId="ListNumber5">
    <w:name w:val="List Number 5"/>
    <w:basedOn w:val="ListNumber4"/>
    <w:qFormat/>
    <w:pPr>
      <w:numPr>
        <w:ilvl w:val="0"/>
        <w:numId w:val="2"/>
      </w:numPr>
      <w:tabs>
        <w:tab w:val="clear" w:pos="2880"/>
        <w:tab w:val="left" w:pos="3600" w:leader="none"/>
      </w:tabs>
      <w:ind w:hanging="720" w:start="3600" w:end="0"/>
    </w:pPr>
    <w:rPr/>
  </w:style>
  <w:style w:type="paragraph" w:styleId="NormalIndent">
    <w:name w:val="Normal Indent"/>
    <w:basedOn w:val="Normal"/>
    <w:qFormat/>
    <w:pPr>
      <w:ind w:hanging="0" w:start="720" w:end="0"/>
    </w:pPr>
    <w:rPr>
      <w:sz w:val="24"/>
    </w:rPr>
  </w:style>
  <w:style w:type="paragraph" w:styleId="PlainText">
    <w:name w:val="Plain Text"/>
    <w:basedOn w:val="Normal"/>
    <w:qFormat/>
    <w:pPr/>
    <w:rPr/>
  </w:style>
  <w:style w:type="paragraph" w:styleId="Quote">
    <w:name w:val="Quote"/>
    <w:basedOn w:val="Normal"/>
    <w:next w:val="BodyTextLeft"/>
    <w:qFormat/>
    <w:pPr>
      <w:spacing w:before="0" w:after="240"/>
      <w:ind w:hanging="0" w:start="1440" w:end="1440"/>
    </w:pPr>
    <w:rPr/>
  </w:style>
  <w:style w:type="paragraph" w:styleId="Signature">
    <w:name w:val="Signature"/>
    <w:basedOn w:val="Normal"/>
    <w:pPr>
      <w:spacing w:before="720" w:after="0"/>
      <w:ind w:hanging="0" w:start="4320" w:end="0"/>
    </w:pPr>
    <w:rPr/>
  </w:style>
  <w:style w:type="paragraph" w:styleId="Subtitle">
    <w:name w:val="Subtitle"/>
    <w:basedOn w:val="Normal"/>
    <w:next w:val="BodyText"/>
    <w:qFormat/>
    <w:pPr>
      <w:keepNext w:val="true"/>
      <w:keepLines/>
      <w:spacing w:before="0" w:after="240"/>
      <w:outlineLvl w:val="1"/>
    </w:pPr>
    <w:rPr>
      <w:b/>
      <w:u w:val="single"/>
    </w:rPr>
  </w:style>
  <w:style w:type="paragraph" w:styleId="TableofAuthorities">
    <w:name w:val="Table of Authorities"/>
    <w:basedOn w:val="Normal"/>
    <w:next w:val="Normal"/>
    <w:qFormat/>
    <w:pPr>
      <w:tabs>
        <w:tab w:val="clear" w:pos="720"/>
        <w:tab w:val="right" w:pos="9360" w:leader="dot"/>
      </w:tabs>
      <w:spacing w:before="0" w:after="240"/>
      <w:ind w:hanging="245" w:start="245" w:end="2160"/>
    </w:pPr>
    <w:rPr>
      <w:lang w:val="en-CA" w:eastAsia="en-CA"/>
    </w:rPr>
  </w:style>
  <w:style w:type="paragraph" w:styleId="TitleNoTOC">
    <w:name w:val="Title (No TOC)"/>
    <w:basedOn w:val="Heading"/>
    <w:qFormat/>
    <w:pPr>
      <w:outlineLvl w:val="9"/>
    </w:pPr>
    <w:rPr/>
  </w:style>
  <w:style w:type="paragraph" w:styleId="TOAHeading">
    <w:name w:val="TOA Heading"/>
    <w:basedOn w:val="Normal"/>
    <w:next w:val="Normal"/>
    <w:qFormat/>
    <w:pPr>
      <w:tabs>
        <w:tab w:val="clear" w:pos="720"/>
        <w:tab w:val="right" w:pos="9350" w:leader="dot"/>
      </w:tabs>
      <w:spacing w:before="0" w:after="240"/>
      <w:jc w:val="center"/>
    </w:pPr>
    <w:rPr>
      <w:rFonts w:ascii="Arial" w:hAnsi="Arial" w:cs="Arial"/>
      <w:b/>
      <w:lang w:val="en-CA" w:eastAsia="en-CA"/>
    </w:rPr>
  </w:style>
  <w:style w:type="paragraph" w:styleId="TOC1">
    <w:name w:val="toc 1"/>
    <w:basedOn w:val="Normal"/>
    <w:pPr>
      <w:keepLines/>
      <w:tabs>
        <w:tab w:val="clear" w:pos="720"/>
        <w:tab w:val="right" w:pos="9360" w:leader="dot"/>
      </w:tabs>
      <w:spacing w:before="0" w:after="240"/>
      <w:ind w:hanging="720" w:start="720" w:end="1440"/>
    </w:pPr>
    <w:rPr/>
  </w:style>
  <w:style w:type="paragraph" w:styleId="TOC2">
    <w:name w:val="toc 2"/>
    <w:basedOn w:val="TOC1"/>
    <w:pPr>
      <w:ind w:hanging="720" w:start="1440" w:end="1440"/>
    </w:pPr>
    <w:rPr>
      <w:caps/>
    </w:rPr>
  </w:style>
  <w:style w:type="paragraph" w:styleId="TOC3">
    <w:name w:val="toc 3"/>
    <w:basedOn w:val="TOC2"/>
    <w:pPr>
      <w:ind w:hanging="720" w:start="2160" w:end="1440"/>
    </w:pPr>
    <w:rPr/>
  </w:style>
  <w:style w:type="paragraph" w:styleId="TOC4">
    <w:name w:val="toc 4"/>
    <w:basedOn w:val="TOC2"/>
    <w:pPr>
      <w:ind w:hanging="720" w:start="2880" w:end="1440"/>
    </w:pPr>
    <w:rPr/>
  </w:style>
  <w:style w:type="paragraph" w:styleId="TOC5">
    <w:name w:val="toc 5"/>
    <w:basedOn w:val="TOC2"/>
    <w:pPr>
      <w:ind w:hanging="720" w:start="3600" w:end="1440"/>
    </w:pPr>
    <w:rPr/>
  </w:style>
  <w:style w:type="paragraph" w:styleId="TOC6">
    <w:name w:val="toc 6"/>
    <w:basedOn w:val="TOC2"/>
    <w:pPr>
      <w:ind w:hanging="720" w:start="4320" w:end="1440"/>
    </w:pPr>
    <w:rPr/>
  </w:style>
  <w:style w:type="paragraph" w:styleId="TOC7">
    <w:name w:val="toc 7"/>
    <w:basedOn w:val="TOC2"/>
    <w:pPr>
      <w:ind w:hanging="720" w:start="5040" w:end="1440"/>
    </w:pPr>
    <w:rPr/>
  </w:style>
  <w:style w:type="paragraph" w:styleId="TOC8">
    <w:name w:val="toc 8"/>
    <w:basedOn w:val="TOC2"/>
    <w:pPr>
      <w:ind w:hanging="720" w:start="5040" w:end="1440"/>
    </w:pPr>
    <w:rPr/>
  </w:style>
  <w:style w:type="paragraph" w:styleId="TOC9">
    <w:name w:val="toc 9"/>
    <w:basedOn w:val="TOC2"/>
    <w:pPr>
      <w:ind w:hanging="720" w:start="5040" w:end="1440"/>
    </w:pPr>
    <w:rPr/>
  </w:style>
  <w:style w:type="paragraph" w:styleId="FootLine">
    <w:name w:val="FootLine"/>
    <w:basedOn w:val="Normal"/>
    <w:qFormat/>
    <w:pPr>
      <w:keepNext w:val="true"/>
      <w:spacing w:lineRule="exact" w:line="240" w:before="240" w:after="0"/>
    </w:pPr>
    <w:rPr/>
  </w:style>
  <w:style w:type="paragraph" w:styleId="BodyTextIndent">
    <w:name w:val="Body Text Indent"/>
    <w:basedOn w:val="Normal"/>
    <w:pPr>
      <w:ind w:firstLine="720" w:start="3600" w:end="0"/>
    </w:pPr>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2001-03-19T21:12:00Z</dcterms:created>
  <dc:creator>Administrator</dc:creator>
  <dc:description/>
  <cp:keywords>50145019.1</cp:keywords>
  <dc:language>en-CA</dc:language>
  <cp:lastModifiedBy>Bill Short</cp:lastModifiedBy>
  <cp:lastPrinted>2001-03-08T14:06:00Z</cp:lastPrinted>
  <dcterms:modified xsi:type="dcterms:W3CDTF">2001-03-19T21:12:00Z</dcterms:modified>
  <cp:revision>2</cp:revision>
  <dc:subject/>
  <dc:title>THE UNITED STATES OF AMERICA</dc:title>
</cp:coreProperties>
</file>