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object w:dxaOrig="1591" w:dyaOrig="157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9.55pt;height:78.75pt" filled="f" o:ole="">
            <v:imagedata r:id="rId3" o:title=""/>
          </v:shape>
          <o:OLEObject Type="Embed" ProgID="" ShapeID="ole_rId2" DrawAspect="Content" ObjectID="_288752620" r:id="rId2"/>
        </w:object>
      </w:r>
    </w:p>
    <w:p>
      <w:pPr>
        <w:pStyle w:val="Normal"/>
        <w:rPr/>
      </w:pPr>
      <w:r>
        <w:rPr/>
      </w:r>
    </w:p>
    <w:p>
      <w:pPr>
        <w:pStyle w:val="Normal"/>
        <w:rPr/>
      </w:pPr>
      <w:r>
        <w:rPr/>
      </w:r>
    </w:p>
    <w:p>
      <w:pPr>
        <w:pStyle w:val="Heading"/>
        <w:rPr/>
      </w:pPr>
      <w:r>
        <w:rPr/>
        <w:t>SUMMARY OF TERMS FOR PROPOSED TRANSACTIONS BETWEEN</w:t>
      </w:r>
    </w:p>
    <w:p>
      <w:pPr>
        <w:pStyle w:val="Heading"/>
        <w:rPr>
          <w:b w:val="false"/>
        </w:rPr>
      </w:pPr>
      <w:r>
        <w:rPr/>
        <w:t xml:space="preserve"> </w:t>
      </w:r>
    </w:p>
    <w:p>
      <w:pPr>
        <w:pStyle w:val="Normal"/>
        <w:jc w:val="center"/>
        <w:rPr>
          <w:b/>
        </w:rPr>
      </w:pPr>
      <w:r>
        <w:rPr>
          <w:b/>
        </w:rPr>
        <w:t>CALPEAK POWER, LLC, A WHOLLY OWNED SUBSIDIARY OF UNITED TECHNOLOGIES ENERGY HOLDINGS (CALPEAK)</w:t>
      </w:r>
    </w:p>
    <w:p>
      <w:pPr>
        <w:pStyle w:val="Normal"/>
        <w:jc w:val="center"/>
        <w:rPr>
          <w:b/>
        </w:rPr>
      </w:pPr>
      <w:r>
        <w:rPr>
          <w:b/>
        </w:rPr>
        <w:t>AND</w:t>
      </w:r>
    </w:p>
    <w:p>
      <w:pPr>
        <w:pStyle w:val="Normal"/>
        <w:jc w:val="center"/>
        <w:rPr>
          <w:b/>
        </w:rPr>
      </w:pPr>
      <w:r>
        <w:rPr>
          <w:b/>
        </w:rPr>
        <w:t>ENRON NORTH AMERICA CORP. (ENA)</w:t>
      </w:r>
    </w:p>
    <w:p>
      <w:pPr>
        <w:pStyle w:val="Normal"/>
        <w:jc w:val="center"/>
        <w:rPr>
          <w:b/>
        </w:rPr>
      </w:pPr>
      <w:r>
        <w:rPr>
          <w:b/>
        </w:rPr>
      </w:r>
    </w:p>
    <w:p>
      <w:pPr>
        <w:pStyle w:val="Heading2"/>
        <w:ind w:hanging="0" w:start="0"/>
        <w:rPr/>
      </w:pPr>
      <w:r>
        <w:rPr/>
        <w:t>March 26, 2000</w:t>
      </w:r>
    </w:p>
    <w:p>
      <w:pPr>
        <w:pStyle w:val="Normal"/>
        <w:rPr/>
      </w:pPr>
      <w:r>
        <w:rPr/>
      </w:r>
    </w:p>
    <w:p>
      <w:pPr>
        <w:pStyle w:val="Normal"/>
        <w:rPr/>
      </w:pPr>
      <w:r>
        <w:rPr/>
      </w:r>
    </w:p>
    <w:p>
      <w:pPr>
        <w:pStyle w:val="Normal"/>
        <w:rPr/>
      </w:pPr>
      <w:r>
        <w:rPr/>
        <w:t>Seller:</w:t>
        <w:tab/>
        <w:t>Enron North America (ENA)</w:t>
      </w:r>
    </w:p>
    <w:p>
      <w:pPr>
        <w:pStyle w:val="Normal"/>
        <w:rPr/>
      </w:pPr>
      <w:r>
        <w:rPr/>
      </w:r>
    </w:p>
    <w:p>
      <w:pPr>
        <w:pStyle w:val="Normal"/>
        <w:rPr/>
      </w:pPr>
      <w:r>
        <w:rPr/>
        <w:t xml:space="preserve">Buyer: </w:t>
        <w:tab/>
        <w:t>Calpeak</w:t>
      </w:r>
    </w:p>
    <w:p>
      <w:pPr>
        <w:pStyle w:val="Normal"/>
        <w:rPr/>
      </w:pPr>
      <w:r>
        <w:rPr/>
      </w:r>
    </w:p>
    <w:p>
      <w:pPr>
        <w:pStyle w:val="Normal"/>
        <w:rPr/>
      </w:pPr>
      <w:r>
        <w:rPr/>
        <w:t>Term:     July 1, 2001 through  June 30, 2004.  A longer term can be negotiated.</w:t>
      </w:r>
    </w:p>
    <w:p>
      <w:pPr>
        <w:pStyle w:val="Normal"/>
        <w:rPr/>
      </w:pPr>
      <w:r>
        <w:rPr/>
      </w:r>
    </w:p>
    <w:p>
      <w:pPr>
        <w:pStyle w:val="Normal"/>
        <w:rPr/>
      </w:pPr>
      <w:r>
        <w:rPr/>
        <w:t>Volume:  As described in Buyer’s RFP and in the document below</w:t>
      </w:r>
    </w:p>
    <w:p>
      <w:pPr>
        <w:pStyle w:val="Normal"/>
        <w:rPr/>
      </w:pPr>
      <w:r>
        <w:rPr/>
      </w:r>
    </w:p>
    <w:p>
      <w:pPr>
        <w:pStyle w:val="Normal"/>
        <w:numPr>
          <w:ilvl w:val="0"/>
          <w:numId w:val="3"/>
        </w:numPr>
        <w:rPr>
          <w:rFonts w:ascii="Arial" w:hAnsi="Arial" w:cs="Arial"/>
        </w:rPr>
      </w:pPr>
      <w:r>
        <w:rPr>
          <w:rFonts w:cs="Arial" w:ascii="Arial" w:hAnsi="Arial"/>
        </w:rPr>
        <w:t>Conditions under which ENA submits this response to PRM’s request for a Natural Gas Supplier on behalf of Calpeak Power LLC</w:t>
      </w:r>
    </w:p>
    <w:p>
      <w:pPr>
        <w:pStyle w:val="Normal"/>
        <w:ind w:start="45" w:end="0"/>
        <w:rPr>
          <w:rFonts w:ascii="Arial" w:hAnsi="Arial" w:cs="Arial"/>
        </w:rPr>
      </w:pPr>
      <w:r>
        <w:rPr>
          <w:rFonts w:cs="Arial" w:ascii="Arial" w:hAnsi="Arial"/>
        </w:rPr>
      </w:r>
    </w:p>
    <w:p>
      <w:pPr>
        <w:pStyle w:val="Normal"/>
        <w:numPr>
          <w:ilvl w:val="0"/>
          <w:numId w:val="2"/>
        </w:numPr>
        <w:rPr/>
      </w:pPr>
      <w:r>
        <w:rPr>
          <w:rFonts w:cs="Arial" w:ascii="Arial" w:hAnsi="Arial"/>
        </w:rPr>
        <w:t>This proposal is for discussion purposes only to facilitate the negotiation, preparation and execution of a definitive agreement.  It is not intended to create a binding or enforceable contract or to be complete and all-inclusive of the terms of the related transaction.  This is not an offer or a commitment by ENA or any parent or affiliate of ENA.  The transaction described herein is subject to further review and approval of ENA and execution of definitive agreements containing all appropriate provisions</w:t>
      </w:r>
    </w:p>
    <w:p>
      <w:pPr>
        <w:pStyle w:val="Normal"/>
        <w:numPr>
          <w:ilvl w:val="0"/>
          <w:numId w:val="2"/>
        </w:numPr>
        <w:rPr/>
      </w:pPr>
      <w:r>
        <w:rPr>
          <w:rFonts w:cs="Arial" w:ascii="Arial" w:hAnsi="Arial"/>
        </w:rPr>
        <w:t>Terms will be negotiated only after credit has been established and an Enfolio Master Firm Purchase/Sale Agreement has been executed.</w:t>
      </w:r>
    </w:p>
    <w:p>
      <w:pPr>
        <w:pStyle w:val="Normal"/>
        <w:numPr>
          <w:ilvl w:val="0"/>
          <w:numId w:val="2"/>
        </w:numPr>
        <w:rPr/>
      </w:pPr>
      <w:r>
        <w:rPr>
          <w:rFonts w:cs="Arial" w:ascii="Arial" w:hAnsi="Arial"/>
        </w:rPr>
        <w:t>Contact:  Natural Gas Supply – Kim Ward, 1400 Smith Street, Houston, Tx 77002</w:t>
      </w:r>
    </w:p>
    <w:p>
      <w:pPr>
        <w:pStyle w:val="Normal"/>
        <w:ind w:start="1440" w:end="0"/>
        <w:rPr>
          <w:rFonts w:ascii="Arial" w:hAnsi="Arial" w:cs="Arial"/>
        </w:rPr>
      </w:pPr>
      <w:r>
        <w:rPr>
          <w:rFonts w:eastAsia="Arial" w:cs="Arial" w:ascii="Arial" w:hAnsi="Arial"/>
        </w:rPr>
        <w:t xml:space="preserve">         </w:t>
      </w:r>
      <w:r>
        <w:rPr>
          <w:rFonts w:cs="Arial" w:ascii="Arial" w:hAnsi="Arial"/>
        </w:rPr>
        <w:t xml:space="preserve">Phone – 713-853-0685     Fax – 713-646-2391   email: </w:t>
      </w:r>
      <w:hyperlink r:id="rId4">
        <w:r>
          <w:rPr>
            <w:rStyle w:val="Hyperlink"/>
          </w:rPr>
          <w:t>kim.ward@enron.com</w:t>
        </w:r>
      </w:hyperlink>
    </w:p>
    <w:p>
      <w:pPr>
        <w:pStyle w:val="Normal"/>
        <w:ind w:start="1440" w:end="0"/>
        <w:rPr>
          <w:rFonts w:ascii="Arial" w:hAnsi="Arial" w:cs="Arial"/>
        </w:rPr>
      </w:pPr>
      <w:r>
        <w:rPr>
          <w:rFonts w:cs="Arial" w:ascii="Arial" w:hAnsi="Arial"/>
        </w:rPr>
      </w:r>
    </w:p>
    <w:p>
      <w:pPr>
        <w:pStyle w:val="Normal"/>
        <w:ind w:start="1440" w:end="0"/>
        <w:rPr>
          <w:rFonts w:ascii="Arial" w:hAnsi="Arial" w:cs="Arial"/>
        </w:rPr>
      </w:pPr>
      <w:r>
        <w:rPr>
          <w:rFonts w:cs="Arial" w:ascii="Arial" w:hAnsi="Arial"/>
        </w:rPr>
        <w:t>Power Desk contact:  Stewart Rosman   phone:  503-464-3810</w:t>
      </w:r>
    </w:p>
    <w:p>
      <w:pPr>
        <w:pStyle w:val="Normal"/>
        <w:ind w:start="1440" w:end="0"/>
        <w:rPr>
          <w:rFonts w:ascii="Arial" w:hAnsi="Arial" w:cs="Arial"/>
        </w:rPr>
      </w:pPr>
      <w:r>
        <w:rPr>
          <w:rFonts w:cs="Arial" w:ascii="Arial" w:hAnsi="Arial"/>
        </w:rPr>
      </w:r>
    </w:p>
    <w:p>
      <w:pPr>
        <w:pStyle w:val="BodyTextIndent2"/>
        <w:numPr>
          <w:ilvl w:val="0"/>
          <w:numId w:val="2"/>
        </w:numPr>
        <w:rPr/>
      </w:pPr>
      <w:r>
        <w:rPr/>
        <w:t>An annual report will be sent via US Postal Service along with a hard copy of this proposal.  Credit provisions will be included in proposed Master Purchase/Supply agreements once Calpeak’s credit has been evaluated by ENA.</w:t>
      </w:r>
    </w:p>
    <w:p>
      <w:pPr>
        <w:pStyle w:val="Normal"/>
        <w:numPr>
          <w:ilvl w:val="0"/>
          <w:numId w:val="2"/>
        </w:numPr>
        <w:rPr/>
      </w:pPr>
      <w:r>
        <w:rPr>
          <w:rFonts w:cs="Arial" w:ascii="Arial" w:hAnsi="Arial"/>
        </w:rPr>
        <w:t>A Master Purchase/Sale agreement will be forwarded once Calpeak’s credit has been evaluated by ENA.</w:t>
      </w:r>
    </w:p>
    <w:p>
      <w:pPr>
        <w:pStyle w:val="Normal"/>
        <w:ind w:start="720" w:end="0"/>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Proposal Summary:</w:t>
      </w:r>
    </w:p>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Enron has the ability to supply full requirement gas supply for the plants listed in the RFP proposal.  Delivery for the plants located on Socal &amp; San Diego Gas &amp; Electric’s system will be out of Enron’s Socal Pool and for the plants located on PG&amp;E’s system, delivery will be made out of Enron’s PG&amp;E pool.  Transportation across Socal’s, San Diego’s, and PG&amp;E’s systems shall be the responsibility of and secured by Calpeak.  Enron is willing to provide scheduling services to the meter.</w:t>
      </w:r>
    </w:p>
    <w:p>
      <w:pPr>
        <w:pStyle w:val="BodyTextIndent"/>
        <w:ind w:hanging="0" w:start="1080" w:end="0"/>
        <w:rPr>
          <w:rFonts w:ascii="Arial" w:hAnsi="Arial" w:cs="Arial"/>
        </w:rPr>
      </w:pPr>
      <w:r>
        <w:rPr>
          <w:rFonts w:cs="Arial"/>
        </w:rPr>
      </w:r>
    </w:p>
    <w:p>
      <w:pPr>
        <w:pStyle w:val="BodyTextIndent"/>
        <w:ind w:hanging="0" w:start="1080" w:end="0"/>
        <w:rPr/>
      </w:pPr>
      <w:r>
        <w:rPr/>
        <w:t>Enron is willing to offer management services arrangement whereby ENA would provide risk management services, scheduling, transportation management, and market intelligence.</w:t>
      </w:r>
    </w:p>
    <w:p>
      <w:pPr>
        <w:pStyle w:val="BodyTextIndent"/>
        <w:ind w:hanging="0" w:start="0" w:end="0"/>
        <w:rPr/>
      </w:pPr>
      <w:r>
        <w:rPr/>
      </w:r>
    </w:p>
    <w:p>
      <w:pPr>
        <w:pStyle w:val="Normal"/>
        <w:numPr>
          <w:ilvl w:val="0"/>
          <w:numId w:val="4"/>
        </w:numPr>
        <w:rPr>
          <w:rFonts w:ascii="Arial" w:hAnsi="Arial" w:cs="Arial"/>
        </w:rPr>
      </w:pPr>
      <w:r>
        <w:rPr>
          <w:rFonts w:cs="Arial" w:ascii="Arial" w:hAnsi="Arial"/>
        </w:rPr>
        <w:t xml:space="preserve">Enron Corp. is one of the world’s largest integrated energy companies and operates one of the largest natural gas transmission systems in the world.  As the largest natural gas wholesale marketer in North America, Enron is able to offer competitive pricing to its wholesale customers.  Enron’s Internet address is </w:t>
      </w:r>
      <w:hyperlink r:id="rId5">
        <w:r>
          <w:rPr>
            <w:rStyle w:val="Hyperlink"/>
          </w:rPr>
          <w:t>www.enron.com</w:t>
        </w:r>
      </w:hyperlink>
      <w:r>
        <w:rPr>
          <w:rFonts w:cs="Arial" w:ascii="Arial" w:hAnsi="Arial"/>
        </w:rPr>
        <w:t>, and the stock is traded on the New York Stock Exchange under the ticker symbol, “ENE”.</w:t>
      </w:r>
    </w:p>
    <w:p>
      <w:pPr>
        <w:pStyle w:val="Normal"/>
        <w:ind w:start="720" w:end="0"/>
        <w:rPr>
          <w:rFonts w:ascii="Arial" w:hAnsi="Arial" w:cs="Arial"/>
        </w:rPr>
      </w:pPr>
      <w:r>
        <w:rPr>
          <w:rFonts w:cs="Arial" w:ascii="Arial" w:hAnsi="Arial"/>
        </w:rPr>
      </w:r>
    </w:p>
    <w:p>
      <w:pPr>
        <w:pStyle w:val="Normal"/>
        <w:ind w:start="1080" w:end="0"/>
        <w:rPr>
          <w:rFonts w:ascii="Arial" w:hAnsi="Arial" w:cs="Arial"/>
        </w:rPr>
      </w:pPr>
      <w:r>
        <w:rPr>
          <w:rFonts w:cs="Arial" w:ascii="Arial" w:hAnsi="Arial"/>
        </w:rPr>
        <w:t>For the fifth consecutive year, Enron has been ranked the “Most Innovative” company in America by Fortune magazine in addition to being ranked #1 in “Quality of Management” and #2 in regards to “Employee Talent”.  Enron has a very sound financial standing with an S&amp;P, Duff &amp; Phelps, and Fitch credit rating of BBB+ and a Moody’s rating of Baa2 all in regards to senior debt.</w:t>
      </w:r>
    </w:p>
    <w:p>
      <w:pPr>
        <w:pStyle w:val="Normal"/>
        <w:ind w:start="1080" w:end="0"/>
        <w:rPr>
          <w:rFonts w:ascii="Arial" w:hAnsi="Arial" w:cs="Arial"/>
        </w:rPr>
      </w:pPr>
      <w:r>
        <w:rPr>
          <w:rFonts w:cs="Arial" w:ascii="Arial" w:hAnsi="Arial"/>
        </w:rPr>
      </w:r>
    </w:p>
    <w:p>
      <w:pPr>
        <w:pStyle w:val="Normal"/>
        <w:ind w:hanging="720" w:start="720" w:end="0"/>
        <w:rPr>
          <w:rFonts w:ascii="Arial" w:hAnsi="Arial" w:cs="Arial"/>
        </w:rPr>
      </w:pPr>
      <w:r>
        <w:rPr/>
        <w:tab/>
      </w:r>
    </w:p>
    <w:p>
      <w:pPr>
        <w:pStyle w:val="Normal"/>
        <w:numPr>
          <w:ilvl w:val="0"/>
          <w:numId w:val="3"/>
        </w:numPr>
        <w:rPr>
          <w:rFonts w:ascii="Arial" w:hAnsi="Arial" w:cs="Arial"/>
        </w:rPr>
      </w:pPr>
      <w:r>
        <w:rPr>
          <w:rFonts w:cs="Arial" w:ascii="Arial" w:hAnsi="Arial"/>
        </w:rPr>
        <w:t>Scope of Work or Services – Section 4 – Pricing</w:t>
      </w:r>
    </w:p>
    <w:p>
      <w:pPr>
        <w:pStyle w:val="Normal"/>
        <w:rPr>
          <w:rFonts w:ascii="Arial" w:hAnsi="Arial" w:cs="Arial"/>
        </w:rPr>
      </w:pPr>
      <w:r>
        <w:rPr>
          <w:rFonts w:cs="Arial" w:ascii="Arial" w:hAnsi="Arial"/>
        </w:rPr>
      </w:r>
    </w:p>
    <w:p>
      <w:pPr>
        <w:pStyle w:val="Normal"/>
        <w:numPr>
          <w:ilvl w:val="0"/>
          <w:numId w:val="5"/>
        </w:numPr>
        <w:rPr>
          <w:rFonts w:ascii="Arial" w:hAnsi="Arial" w:cs="Arial"/>
        </w:rPr>
      </w:pPr>
      <w:r>
        <w:rPr>
          <w:rFonts w:cs="Arial" w:ascii="Arial" w:hAnsi="Arial"/>
        </w:rPr>
        <w:t>Seller is willing to supply Buyer’s baseload gas requirements priced at a first-of-the-month index.  Seller proposes to be Buyer’s authorized marketer as defined by the tariffs of Socal Gas and PG&amp;E.  Buyer shall pay for all amounts of gas transported on the Socal Gas and PG&amp;E systems related to their load requirements as documented by their transportation invoice.</w:t>
      </w:r>
    </w:p>
    <w:p>
      <w:pPr>
        <w:pStyle w:val="Normal"/>
        <w:numPr>
          <w:ilvl w:val="0"/>
          <w:numId w:val="5"/>
        </w:numPr>
        <w:rPr>
          <w:rFonts w:ascii="Arial" w:hAnsi="Arial" w:cs="Arial"/>
        </w:rPr>
      </w:pPr>
      <w:r>
        <w:rPr>
          <w:rFonts w:cs="Arial" w:ascii="Arial" w:hAnsi="Arial"/>
        </w:rPr>
        <w:t>At least five days prior to the last trading day of that month’s NYMEX futures contract, Buyer shall notify Seller of the Baseload Daily Quantity (“BDQ”) for the following month. The BDQ shall be the daily quantity that Buyer shall purchase from the seller each day during the delivery month.  If buyer fails to notify seller of the BDQ by the deadline, the BDQ shall be the average daily quantity that buyer purchased from seller during the previous month.</w:t>
      </w:r>
    </w:p>
    <w:p>
      <w:pPr>
        <w:pStyle w:val="Normal"/>
        <w:ind w:start="1155" w:end="0"/>
        <w:rPr>
          <w:rFonts w:ascii="Arial" w:hAnsi="Arial" w:cs="Arial"/>
        </w:rPr>
      </w:pPr>
      <w:r>
        <w:rPr>
          <w:rFonts w:cs="Arial" w:ascii="Arial" w:hAnsi="Arial"/>
        </w:rPr>
      </w:r>
    </w:p>
    <w:p>
      <w:pPr>
        <w:pStyle w:val="Normal"/>
        <w:ind w:hanging="720" w:start="1485" w:end="0"/>
        <w:rPr/>
      </w:pPr>
      <w:r>
        <w:rPr>
          <w:rFonts w:cs="Arial" w:ascii="Arial" w:hAnsi="Arial"/>
        </w:rPr>
        <w:t xml:space="preserve">C. The Contract Price for the BDQ scheduled prior to the month shall be the price published in </w:t>
      </w:r>
      <w:r>
        <w:rPr>
          <w:rFonts w:cs="Arial" w:ascii="Arial" w:hAnsi="Arial"/>
          <w:u w:val="single"/>
        </w:rPr>
        <w:t>Natural Gas Intelligence Gas Price Index</w:t>
      </w:r>
      <w:r>
        <w:rPr>
          <w:rFonts w:cs="Arial" w:ascii="Arial" w:hAnsi="Arial"/>
        </w:rPr>
        <w:t>, or successor publication, in the first issue of the delivery month, in the table titled “California”, on the line titled “Southern California Gas” plus $.10/MMBtu for deliveries made out of the Socal Gas pool and on the line titled “PG&amp;E city-gate” plus $.05/MMBtu for deliveries made out of the PG&amp;E pool.  Seller is willing to sell baseload quantities at a fixed price.  However, Buyer would be responsible for taking all gas sold at a fixed price.  Seller is willing to make a best efforts to assist buyer in selling excess volumes on behalf of Buyer at market prices at the time.  One, three, and five year price indications are as follows:</w:t>
      </w:r>
    </w:p>
    <w:p>
      <w:pPr>
        <w:pStyle w:val="Normal"/>
        <w:ind w:hanging="720" w:start="1485" w:end="0"/>
        <w:rPr>
          <w:rFonts w:ascii="Arial" w:hAnsi="Arial" w:cs="Arial"/>
        </w:rPr>
      </w:pPr>
      <w:r>
        <w:rPr>
          <w:rFonts w:cs="Arial" w:ascii="Arial" w:hAnsi="Arial"/>
        </w:rPr>
      </w:r>
    </w:p>
    <w:p>
      <w:pPr>
        <w:pStyle w:val="Normal"/>
        <w:ind w:start="1155" w:end="0"/>
        <w:rPr>
          <w:rFonts w:ascii="Arial" w:hAnsi="Arial" w:cs="Arial"/>
        </w:rPr>
      </w:pPr>
      <w:r>
        <w:rPr>
          <w:rFonts w:cs="Arial" w:ascii="Arial" w:hAnsi="Arial"/>
        </w:rPr>
        <w:tab/>
        <w:tab/>
        <w:tab/>
        <w:tab/>
        <w:tab/>
        <w:t>Socal Gas</w:t>
        <w:tab/>
        <w:tab/>
        <w:t>PG&amp;E</w:t>
      </w:r>
    </w:p>
    <w:p>
      <w:pPr>
        <w:pStyle w:val="Normal"/>
        <w:ind w:start="1155" w:end="0"/>
        <w:rPr>
          <w:rFonts w:ascii="Arial" w:hAnsi="Arial" w:cs="Arial"/>
        </w:rPr>
      </w:pPr>
      <w:r>
        <w:rPr>
          <w:rFonts w:cs="Arial" w:ascii="Arial" w:hAnsi="Arial"/>
        </w:rPr>
      </w:r>
    </w:p>
    <w:p>
      <w:pPr>
        <w:pStyle w:val="Normal"/>
        <w:ind w:start="1155" w:end="0"/>
        <w:rPr>
          <w:rFonts w:ascii="Arial" w:hAnsi="Arial" w:cs="Arial"/>
        </w:rPr>
      </w:pPr>
      <w:r>
        <w:rPr>
          <w:rFonts w:cs="Arial" w:ascii="Arial" w:hAnsi="Arial"/>
        </w:rPr>
        <w:t>July 1, 2001 – June 30, 2002</w:t>
        <w:tab/>
        <w:t>$9.50/MMBtu</w:t>
        <w:tab/>
        <w:tab/>
        <w:t>$9.25/MMBtu</w:t>
      </w:r>
    </w:p>
    <w:p>
      <w:pPr>
        <w:pStyle w:val="Normal"/>
        <w:ind w:start="1155" w:end="0"/>
        <w:rPr>
          <w:rFonts w:ascii="Arial" w:hAnsi="Arial" w:cs="Arial"/>
        </w:rPr>
      </w:pPr>
      <w:r>
        <w:rPr>
          <w:rFonts w:cs="Arial" w:ascii="Arial" w:hAnsi="Arial"/>
        </w:rPr>
        <w:t>July 1, 2001 – June 30, 2004</w:t>
        <w:tab/>
        <w:t>$7.10/MMBtu</w:t>
        <w:tab/>
        <w:tab/>
        <w:t>$7.00/MMBtu</w:t>
      </w:r>
    </w:p>
    <w:p>
      <w:pPr>
        <w:pStyle w:val="Normal"/>
        <w:ind w:start="1155" w:end="0"/>
        <w:rPr>
          <w:rFonts w:ascii="Arial" w:hAnsi="Arial" w:cs="Arial"/>
        </w:rPr>
      </w:pPr>
      <w:r>
        <w:rPr>
          <w:rFonts w:cs="Arial" w:ascii="Arial" w:hAnsi="Arial"/>
        </w:rPr>
        <w:t>July 1, 2001 – June 30, 2006</w:t>
        <w:tab/>
        <w:t>$6.25/MMBtu</w:t>
        <w:tab/>
        <w:tab/>
        <w:t>$6.20/MMBtu</w:t>
      </w:r>
    </w:p>
    <w:p>
      <w:pPr>
        <w:pStyle w:val="Normal"/>
        <w:ind w:start="1155" w:end="0"/>
        <w:rPr>
          <w:rFonts w:ascii="Arial" w:hAnsi="Arial" w:cs="Arial"/>
        </w:rPr>
      </w:pPr>
      <w:r>
        <w:rPr>
          <w:rFonts w:cs="Arial" w:ascii="Arial" w:hAnsi="Arial"/>
        </w:rPr>
      </w:r>
    </w:p>
    <w:p>
      <w:pPr>
        <w:pStyle w:val="Normal"/>
        <w:ind w:start="1155" w:end="0"/>
        <w:rPr>
          <w:rFonts w:ascii="Arial" w:hAnsi="Arial" w:cs="Arial"/>
        </w:rPr>
      </w:pPr>
      <w:r>
        <w:rPr>
          <w:rFonts w:cs="Arial" w:ascii="Arial" w:hAnsi="Arial"/>
        </w:rPr>
        <w:t>Gas deliveries can commence on June 15, 2001 based on a Gas Daily market price mutually agreed to by buyer and seller.</w:t>
      </w:r>
    </w:p>
    <w:p>
      <w:pPr>
        <w:pStyle w:val="Normal"/>
        <w:ind w:start="1155" w:end="0"/>
        <w:rPr>
          <w:rFonts w:ascii="Arial" w:hAnsi="Arial" w:cs="Arial"/>
        </w:rPr>
      </w:pPr>
      <w:r>
        <w:rPr>
          <w:rFonts w:cs="Arial" w:ascii="Arial" w:hAnsi="Arial"/>
        </w:rPr>
        <w:t>D. After the start of the Month, if Buyer believes that its usage is higher or lower than the BDQ, beyond the tolerance permitted by Socal or PG&amp;E at the time, Buyer shall contact Seller to purchase additional supplies from Seller or to sell back a portion of such BDQ to Seller at the fixed price communicated by the Seller to the Buyer for the balance of that month. The Daily Contract Quantity can be a positive or negative difference between the amount scheduled by the Buyer and the BDQ.</w:t>
      </w:r>
    </w:p>
    <w:p>
      <w:pPr>
        <w:pStyle w:val="Normal"/>
        <w:ind w:start="1155" w:end="0"/>
        <w:rPr>
          <w:rFonts w:ascii="Arial" w:hAnsi="Arial" w:cs="Arial"/>
        </w:rPr>
      </w:pPr>
      <w:r>
        <w:rPr>
          <w:rFonts w:cs="Arial" w:ascii="Arial" w:hAnsi="Arial"/>
        </w:rPr>
      </w:r>
    </w:p>
    <w:p>
      <w:pPr>
        <w:pStyle w:val="Normal"/>
        <w:ind w:start="1155" w:end="0"/>
        <w:rPr/>
      </w:pPr>
      <w:r>
        <w:rPr>
          <w:rFonts w:cs="Arial" w:ascii="Arial" w:hAnsi="Arial"/>
        </w:rPr>
        <w:t xml:space="preserve">The Contract Price for any positive Daily Swing Load Quantity (”SLQ”) in excess of the BDQ, and any positive DCQ,  shall be equal to the Mid-Point Index, as posted in </w:t>
      </w:r>
      <w:r>
        <w:rPr>
          <w:rFonts w:cs="Arial" w:ascii="Arial" w:hAnsi="Arial"/>
          <w:u w:val="single"/>
        </w:rPr>
        <w:t>Financial Times Energy’s Gas Daily</w:t>
      </w:r>
      <w:r>
        <w:rPr>
          <w:rFonts w:cs="Arial" w:ascii="Arial" w:hAnsi="Arial"/>
        </w:rPr>
        <w:t xml:space="preserve"> publication, or successor publication, in the column “Daily Price Survey”, under the heading “Others”, for Socal gas, large pkgs, mid-point of the common range, plus $.02/MMBtu for the volumes delivered out of the Socal pool.  For volumes delivered out of the PG&amp;E pool, the contract proce for positive daily swing load quantity in excess of the BDQ and positive DCQ would be equal to the Mid-Point Index, as posted in </w:t>
      </w:r>
      <w:r>
        <w:rPr>
          <w:rFonts w:cs="Arial" w:ascii="Arial" w:hAnsi="Arial"/>
          <w:u w:val="single"/>
        </w:rPr>
        <w:t>Financial Times Energy’s Gas Daily</w:t>
      </w:r>
      <w:r>
        <w:rPr>
          <w:rFonts w:cs="Arial" w:ascii="Arial" w:hAnsi="Arial"/>
        </w:rPr>
        <w:t xml:space="preserve"> publication, or successor publication, in the column “Daily Price Survey”, under the heading “Others”, for PG&amp;E, large pkgs, mid-point of the common range, plus $.02/MMBtu.  If Gas Daily does not publish a range for a particular day, the range reported in the next issue shall be used.</w:t>
      </w:r>
    </w:p>
    <w:p>
      <w:pPr>
        <w:pStyle w:val="Normal"/>
        <w:ind w:start="1155" w:end="0"/>
        <w:rPr>
          <w:rFonts w:ascii="Arial" w:hAnsi="Arial" w:cs="Arial"/>
        </w:rPr>
      </w:pPr>
      <w:r>
        <w:rPr>
          <w:rFonts w:cs="Arial" w:ascii="Arial" w:hAnsi="Arial"/>
        </w:rPr>
      </w:r>
    </w:p>
    <w:p>
      <w:pPr>
        <w:pStyle w:val="Normal"/>
        <w:ind w:start="1155" w:end="0"/>
        <w:rPr>
          <w:rFonts w:ascii="Arial" w:hAnsi="Arial" w:cs="Arial"/>
        </w:rPr>
      </w:pPr>
      <w:r>
        <w:rPr>
          <w:rFonts w:cs="Arial" w:ascii="Arial" w:hAnsi="Arial"/>
        </w:rPr>
        <w:t>Buyer shall be expected to actively participate in scheduling by communicating an estimate of buyer’s total load quantity on a daily basis.  If Buyer does not schedule a DCQ or properly communicate an estimate of the Buyers total load, and Seller incurs imbalance penalties from Socal or PG&amp;E, and such charges would not have been incurred had buyer communicated a reasonably estimated quantity, Buyer shall reimburse Seller for such imbalance charges based on the assumption that Seller delivered the BDQ plus the DCQ.</w:t>
      </w:r>
    </w:p>
    <w:p>
      <w:pPr>
        <w:pStyle w:val="Normal"/>
        <w:ind w:start="1155" w:end="0"/>
        <w:rPr>
          <w:rFonts w:ascii="Arial" w:hAnsi="Arial" w:cs="Arial"/>
        </w:rPr>
      </w:pPr>
      <w:r>
        <w:rPr>
          <w:rFonts w:cs="Arial" w:ascii="Arial" w:hAnsi="Arial"/>
        </w:rPr>
        <w:tab/>
      </w:r>
    </w:p>
    <w:p>
      <w:pPr>
        <w:pStyle w:val="ListBullet2"/>
        <w:ind w:firstLine="360" w:end="0"/>
        <w:rPr>
          <w:rFonts w:ascii="Arial" w:hAnsi="Arial" w:cs="Arial"/>
          <w:b/>
          <w:sz w:val="20"/>
        </w:rPr>
      </w:pPr>
      <w:r>
        <w:rPr>
          <w:rFonts w:cs="Arial" w:ascii="Arial" w:hAnsi="Arial"/>
          <w:b/>
          <w:sz w:val="20"/>
        </w:rPr>
        <w:t>OFO Management</w:t>
      </w:r>
    </w:p>
    <w:p>
      <w:pPr>
        <w:pStyle w:val="ListBullet2"/>
        <w:numPr>
          <w:ilvl w:val="0"/>
          <w:numId w:val="7"/>
        </w:numPr>
        <w:rPr>
          <w:rFonts w:ascii="Arial" w:hAnsi="Arial" w:cs="Arial"/>
          <w:sz w:val="20"/>
        </w:rPr>
      </w:pPr>
      <w:r>
        <w:rPr>
          <w:rFonts w:cs="Arial" w:ascii="Arial" w:hAnsi="Arial"/>
          <w:sz w:val="20"/>
        </w:rPr>
        <w:t>Buyer shall assign an individual that Seller can contact 24-hours/day to manage the Socal and/or PG&amp;E Operational Flow Order (OFO) events.</w:t>
      </w:r>
    </w:p>
    <w:p>
      <w:pPr>
        <w:pStyle w:val="ListBullet2"/>
        <w:numPr>
          <w:ilvl w:val="0"/>
          <w:numId w:val="7"/>
        </w:numPr>
        <w:rPr>
          <w:rFonts w:ascii="Arial" w:hAnsi="Arial" w:cs="Arial"/>
          <w:sz w:val="20"/>
        </w:rPr>
      </w:pPr>
      <w:r>
        <w:rPr>
          <w:rFonts w:cs="Arial" w:ascii="Arial" w:hAnsi="Arial"/>
          <w:sz w:val="20"/>
        </w:rPr>
        <w:t>Seller shall be responsible for notifying Buyer in the event of a Socal or PG&amp;E Operational Flow Order (OFO) requiring that Daily deliveries and usage equal each other within the tolerance permitted by Socal or PG&amp;E.  Notification shall be by telephone call on Seller’s recorded line noting the date and time of such call.</w:t>
      </w:r>
    </w:p>
    <w:p>
      <w:pPr>
        <w:pStyle w:val="ListBullet2"/>
        <w:numPr>
          <w:ilvl w:val="0"/>
          <w:numId w:val="7"/>
        </w:numPr>
        <w:rPr>
          <w:rFonts w:ascii="Arial" w:hAnsi="Arial" w:cs="Arial"/>
          <w:sz w:val="20"/>
        </w:rPr>
      </w:pPr>
      <w:r>
        <w:rPr>
          <w:rFonts w:cs="Arial" w:ascii="Arial" w:hAnsi="Arial"/>
          <w:sz w:val="20"/>
        </w:rPr>
        <w:t>Upon notification by Seller of an OFO event, Buyer shall set an OFO Quantity as the target for Seller to deliver during the OFO event.</w:t>
      </w:r>
    </w:p>
    <w:p>
      <w:pPr>
        <w:pStyle w:val="ListBullet2"/>
        <w:numPr>
          <w:ilvl w:val="0"/>
          <w:numId w:val="7"/>
        </w:numPr>
        <w:rPr>
          <w:rFonts w:ascii="Arial" w:hAnsi="Arial" w:cs="Arial"/>
          <w:sz w:val="20"/>
        </w:rPr>
      </w:pPr>
      <w:r>
        <w:rPr>
          <w:rFonts w:cs="Arial" w:ascii="Arial" w:hAnsi="Arial"/>
          <w:sz w:val="20"/>
        </w:rPr>
        <w:t xml:space="preserve">If Seller does not notify Buyer of an OFO event, and Seller incurs penalties as a result of Seller delivering a quantity that differs from Buyer’s usage; such penalties shall be the financial responsibility of Seller. </w:t>
      </w:r>
    </w:p>
    <w:p>
      <w:pPr>
        <w:pStyle w:val="ListBullet2"/>
        <w:numPr>
          <w:ilvl w:val="0"/>
          <w:numId w:val="7"/>
        </w:numPr>
        <w:rPr>
          <w:rFonts w:ascii="Arial" w:hAnsi="Arial" w:cs="Arial"/>
          <w:sz w:val="20"/>
        </w:rPr>
      </w:pPr>
      <w:r>
        <w:rPr>
          <w:rFonts w:cs="Arial" w:ascii="Arial" w:hAnsi="Arial"/>
          <w:sz w:val="20"/>
        </w:rPr>
        <w:t>Any penalties incurred by Seller in delivering the OFO Quantity shall be the financial responsibility of Buyer.</w:t>
      </w:r>
    </w:p>
    <w:p>
      <w:pPr>
        <w:pStyle w:val="ListBullet2"/>
        <w:numPr>
          <w:ilvl w:val="0"/>
          <w:numId w:val="7"/>
        </w:numPr>
        <w:rPr>
          <w:rFonts w:ascii="Arial" w:hAnsi="Arial" w:cs="Arial"/>
          <w:sz w:val="20"/>
        </w:rPr>
      </w:pPr>
      <w:r>
        <w:rPr>
          <w:rFonts w:cs="Arial" w:ascii="Arial" w:hAnsi="Arial"/>
          <w:sz w:val="20"/>
        </w:rPr>
        <w:t>Any penalties incurred by Seller as a result of its failure to deliver the OFO Quantity shall be the responsibility of Seller.</w:t>
      </w:r>
    </w:p>
    <w:p>
      <w:pPr>
        <w:pStyle w:val="ListBullet2"/>
        <w:numPr>
          <w:ilvl w:val="0"/>
          <w:numId w:val="7"/>
        </w:numPr>
        <w:rPr>
          <w:rFonts w:ascii="Arial" w:hAnsi="Arial" w:cs="Arial"/>
          <w:sz w:val="20"/>
        </w:rPr>
      </w:pPr>
      <w:r>
        <w:rPr>
          <w:rFonts w:cs="Arial" w:ascii="Arial" w:hAnsi="Arial"/>
          <w:sz w:val="20"/>
        </w:rPr>
        <w:t xml:space="preserve">If Seller cannot contact Buyer’s representative to set the OFO Quantity, Seller shall unilaterally set the OFO Quantity, notify Buyer of such OFO Quantity by leaving a telephone message with Buyer and shall be financially responsible for any penalties assessed Seller as a result of Seller delivering a quantity that differs from Buyer’s usage.  </w:t>
      </w:r>
    </w:p>
    <w:p>
      <w:pPr>
        <w:pStyle w:val="Normal"/>
        <w:ind w:start="1155" w:end="0"/>
        <w:rPr>
          <w:rFonts w:ascii="Arial" w:hAnsi="Arial" w:cs="Arial"/>
          <w:sz w:val="20"/>
        </w:rPr>
      </w:pPr>
      <w:r>
        <w:rPr>
          <w:rFonts w:cs="Arial" w:ascii="Arial" w:hAnsi="Arial"/>
          <w:sz w:val="20"/>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RISK MANAGEMENT PRICING</w:t>
      </w:r>
    </w:p>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t>The price for all or part of Buyer’s baseload quantity can be fixed by the Buyer with the Seller at any time prior to determination of the first of the month index.  Buyer is required to take the entire amount of any volume fixed on a daily basis.  Seller will not subject the Buyer to market premiums over the fixed price for volumes greater than 500 MMBtu/day.  Seller has the ability to fix the price of Indexed supply from a third party through financial products.  Any financial transactions shall be governed by the ISDA Master Swap Agreement that shall be put in place before any financial transactions can take place between Buyer and Seller.</w:t>
      </w:r>
    </w:p>
    <w:p>
      <w:pPr>
        <w:pStyle w:val="Normal"/>
        <w:ind w:start="720" w:end="0"/>
        <w:rPr>
          <w:rFonts w:ascii="Arial" w:hAnsi="Arial" w:cs="Arial"/>
        </w:rPr>
      </w:pPr>
      <w:r>
        <w:rPr>
          <w:rFonts w:cs="Arial" w:ascii="Arial" w:hAnsi="Arial"/>
        </w:rPr>
      </w:r>
    </w:p>
    <w:p>
      <w:pPr>
        <w:pStyle w:val="BodyTextIndent2"/>
        <w:rPr/>
      </w:pPr>
      <w:r>
        <w:rPr/>
        <w:tab/>
        <w:t xml:space="preserve">Seller also has the ability to offer other risk management products that are designed to assist Buyer in managing its price risk such as caps, cost-less collars, balance of the month forward pricing, as well as an array of other risk management tools that can add certainty and stability. Seller can also provide customized energy products to fit Buyer’s needs.  </w:t>
      </w:r>
    </w:p>
    <w:p>
      <w:pPr>
        <w:pStyle w:val="Normal"/>
        <w:ind w:hanging="720" w:start="720" w:end="0"/>
        <w:rPr>
          <w:rFonts w:ascii="Arial" w:hAnsi="Arial" w:cs="Arial"/>
        </w:rPr>
      </w:pPr>
      <w:r>
        <w:rPr>
          <w:rFonts w:cs="Arial" w:ascii="Arial" w:hAnsi="Arial"/>
        </w:rPr>
      </w:r>
    </w:p>
    <w:p>
      <w:pPr>
        <w:pStyle w:val="Normal"/>
        <w:ind w:hanging="720" w:start="720" w:end="0"/>
        <w:rPr>
          <w:rFonts w:ascii="Arial" w:hAnsi="Arial" w:cs="Arial"/>
        </w:rPr>
      </w:pPr>
      <w:r>
        <w:rPr>
          <w:rFonts w:cs="Arial" w:ascii="Arial" w:hAnsi="Arial"/>
        </w:rPr>
        <w:tab/>
        <w:t>Seller can provide fundamental information to assist Buyer with price risk management decisions.  At Buyers request, Seller shall provide pricing for any combination of physical or financial products.  If Buyer and Seller are mutually agreeable to such pricing, a binding agreement will be formed and a paper confirmation, which will fall under the applicable master agreement that has been executed by buyer and Seller, will be faxed within five business days.  The specific credit terms under which Buyer is subject are detailed in the applicable Master Agreement.</w:t>
      </w:r>
    </w:p>
    <w:p>
      <w:pPr>
        <w:pStyle w:val="Normal"/>
        <w:ind w:hanging="720" w:start="720" w:end="0"/>
        <w:rPr>
          <w:rFonts w:ascii="Arial" w:hAnsi="Arial" w:cs="Arial"/>
        </w:rPr>
      </w:pPr>
      <w:r>
        <w:rPr>
          <w:rFonts w:cs="Arial" w:ascii="Arial" w:hAnsi="Arial"/>
        </w:rPr>
      </w:r>
    </w:p>
    <w:p>
      <w:pPr>
        <w:pStyle w:val="Normal"/>
        <w:ind w:hanging="720" w:start="720" w:end="0"/>
        <w:rPr>
          <w:rFonts w:ascii="Arial" w:hAnsi="Arial" w:cs="Arial"/>
        </w:rPr>
      </w:pPr>
      <w:r>
        <w:rPr>
          <w:rFonts w:cs="Arial" w:ascii="Arial" w:hAnsi="Arial"/>
        </w:rPr>
        <w:tab/>
        <w:t>Seller has the ability to provide power price risk management services as well as spark spread products through coordination between Seller’s Natural Gas Desk and West Power Desk.</w:t>
      </w:r>
    </w:p>
    <w:p>
      <w:pPr>
        <w:pStyle w:val="Normal"/>
        <w:ind w:hanging="720"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Seller shall provide informal pricing information to Buyer on a regular basis.  Buyer and Seller can agree to a mechanism to facilitate this process.  Pricing for various risk management products can be provided at the request of the customer.</w:t>
      </w:r>
    </w:p>
    <w:p>
      <w:pPr>
        <w:pStyle w:val="Normal"/>
        <w:ind w:start="111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Seller proposes that Buyer incorporate a mix of fixed price supply, first-of-the-month indexed supply, and supply priced at a gas daily price.  Should the Buyer have the need to sell quantities that have previously been fixed, Seller agrees to offer to purchase the excess based on market conditions at that time.  The pricing mechanism may be based on a fixed price determined at that time or on a published index agreed to by both parties.  Buyer has the right to sell this excess to a party other than the Seller.</w:t>
      </w:r>
    </w:p>
    <w:p>
      <w:pPr>
        <w:pStyle w:val="Normal"/>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Other</w:t>
      </w:r>
    </w:p>
    <w:p>
      <w:pPr>
        <w:pStyle w:val="Normal"/>
        <w:ind w:start="45" w:end="0"/>
        <w:rPr>
          <w:rFonts w:ascii="Arial" w:hAnsi="Arial" w:cs="Arial"/>
        </w:rPr>
      </w:pPr>
      <w:r>
        <w:rPr>
          <w:rFonts w:cs="Arial" w:ascii="Arial" w:hAnsi="Arial"/>
        </w:rPr>
      </w:r>
    </w:p>
    <w:p>
      <w:pPr>
        <w:pStyle w:val="Normal"/>
        <w:numPr>
          <w:ilvl w:val="0"/>
          <w:numId w:val="6"/>
        </w:numPr>
        <w:rPr/>
      </w:pPr>
      <w:r>
        <w:rPr>
          <w:rFonts w:cs="Arial" w:ascii="Arial" w:hAnsi="Arial"/>
        </w:rPr>
        <w:t>Payment Terms shall be detailed in the related executed Master Agreement governing each transaction</w:t>
      </w:r>
    </w:p>
    <w:p>
      <w:pPr>
        <w:pStyle w:val="Normal"/>
        <w:numPr>
          <w:ilvl w:val="0"/>
          <w:numId w:val="6"/>
        </w:numPr>
        <w:rPr>
          <w:rFonts w:ascii="Arial" w:hAnsi="Arial" w:cs="Arial"/>
        </w:rPr>
      </w:pPr>
      <w:r>
        <w:rPr>
          <w:rFonts w:cs="Arial" w:ascii="Arial" w:hAnsi="Arial"/>
        </w:rPr>
        <w:t>Seller’s related credit provisions will be described in related executed Master Agreements.</w:t>
      </w:r>
    </w:p>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upperRoman"/>
      <w:lvlText w:val="%1."/>
      <w:lvlJc w:val="start"/>
      <w:pPr>
        <w:tabs>
          <w:tab w:val="num" w:pos="765"/>
        </w:tabs>
        <w:ind w:start="765" w:hanging="720"/>
      </w:pPr>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upperLetter"/>
      <w:lvlText w:val="%1."/>
      <w:lvlJc w:val="start"/>
      <w:pPr>
        <w:tabs>
          <w:tab w:val="num" w:pos="1125"/>
        </w:tabs>
        <w:ind w:start="1125" w:hanging="360"/>
      </w:pPr>
      <w:rPr/>
    </w:lvl>
    <w:lvl w:ilvl="1">
      <w:start w:val="1"/>
      <w:numFmt w:val="decimal"/>
      <w:lvlText w:val="%1.%2"/>
      <w:lvlJc w:val="start"/>
      <w:pPr>
        <w:tabs>
          <w:tab w:val="num" w:pos="1155"/>
        </w:tabs>
        <w:ind w:start="1155" w:hanging="390"/>
      </w:pPr>
      <w:rPr/>
    </w:lvl>
    <w:lvl w:ilvl="2">
      <w:start w:val="1"/>
      <w:numFmt w:val="decimal"/>
      <w:lvlText w:val="%1.%2.%3"/>
      <w:lvlJc w:val="start"/>
      <w:pPr>
        <w:tabs>
          <w:tab w:val="num" w:pos="2250"/>
        </w:tabs>
        <w:ind w:start="2250" w:hanging="720"/>
      </w:pPr>
      <w:rPr/>
    </w:lvl>
    <w:lvl w:ilvl="3">
      <w:start w:val="1"/>
      <w:numFmt w:val="decimal"/>
      <w:lvlText w:val="%1.%2.%3.%4"/>
      <w:lvlJc w:val="start"/>
      <w:pPr>
        <w:tabs>
          <w:tab w:val="num" w:pos="3015"/>
        </w:tabs>
        <w:ind w:start="3015" w:hanging="720"/>
      </w:pPr>
      <w:rPr/>
    </w:lvl>
    <w:lvl w:ilvl="4">
      <w:start w:val="1"/>
      <w:numFmt w:val="decimal"/>
      <w:lvlText w:val="%1.%2.%3.%4.%5"/>
      <w:lvlJc w:val="start"/>
      <w:pPr>
        <w:tabs>
          <w:tab w:val="num" w:pos="4140"/>
        </w:tabs>
        <w:ind w:start="4140" w:hanging="1080"/>
      </w:pPr>
      <w:rPr/>
    </w:lvl>
    <w:lvl w:ilvl="5">
      <w:start w:val="1"/>
      <w:numFmt w:val="decimal"/>
      <w:lvlText w:val="%1.%2.%3.%4.%5.%6"/>
      <w:lvlJc w:val="start"/>
      <w:pPr>
        <w:tabs>
          <w:tab w:val="num" w:pos="4905"/>
        </w:tabs>
        <w:ind w:start="4905" w:hanging="1080"/>
      </w:pPr>
      <w:rPr/>
    </w:lvl>
    <w:lvl w:ilvl="6">
      <w:start w:val="1"/>
      <w:numFmt w:val="decimal"/>
      <w:lvlText w:val="%1.%2.%3.%4.%5.%6.%7"/>
      <w:lvlJc w:val="start"/>
      <w:pPr>
        <w:tabs>
          <w:tab w:val="num" w:pos="6030"/>
        </w:tabs>
        <w:ind w:start="6030" w:hanging="1440"/>
      </w:pPr>
      <w:rPr/>
    </w:lvl>
    <w:lvl w:ilvl="7">
      <w:start w:val="1"/>
      <w:numFmt w:val="decimal"/>
      <w:lvlText w:val="%1.%2.%3.%4.%5.%6.%7.%8"/>
      <w:lvlJc w:val="start"/>
      <w:pPr>
        <w:tabs>
          <w:tab w:val="num" w:pos="6795"/>
        </w:tabs>
        <w:ind w:start="6795" w:hanging="1440"/>
      </w:pPr>
      <w:rPr/>
    </w:lvl>
    <w:lvl w:ilvl="8">
      <w:start w:val="1"/>
      <w:numFmt w:val="decimal"/>
      <w:lvlText w:val="%1.%2.%3.%4.%5.%6.%7.%8.%9"/>
      <w:lvlJc w:val="start"/>
      <w:pPr>
        <w:tabs>
          <w:tab w:val="num" w:pos="7920"/>
        </w:tabs>
        <w:ind w:start="7920" w:hanging="1800"/>
      </w:pPr>
      <w:rPr/>
    </w:lvl>
  </w:abstractNum>
  <w:abstractNum w:abstractNumId="6">
    <w:lvl w:ilvl="0">
      <w:start w:val="1"/>
      <w:numFmt w:val="upperLetter"/>
      <w:lvlText w:val="%1."/>
      <w:lvlJc w:val="start"/>
      <w:pPr>
        <w:tabs>
          <w:tab w:val="num" w:pos="1080"/>
        </w:tabs>
        <w:ind w:start="1080" w:hanging="360"/>
      </w:pPr>
      <w:rPr>
        <w:rFonts w:ascii="Arial" w:hAnsi="Arial" w:cs="Arial"/>
      </w:rPr>
    </w:lvl>
  </w:abstractNum>
  <w:abstractNum w:abstractNumId="7">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jc w:val="center"/>
      <w:outlineLvl w:val="1"/>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Arial" w:hAnsi="Arial" w:cs="Aria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800" w:end="0"/>
    </w:pPr>
    <w:rPr>
      <w:rFonts w:ascii="Arial" w:hAnsi="Arial" w:cs="Arial"/>
    </w:rPr>
  </w:style>
  <w:style w:type="paragraph" w:styleId="BodyTextIndent2">
    <w:name w:val="Body Text Indent 2"/>
    <w:basedOn w:val="Normal"/>
    <w:qFormat/>
    <w:pPr>
      <w:ind w:hanging="720" w:start="720" w:end="0"/>
    </w:pPr>
    <w:rPr>
      <w:rFonts w:ascii="Arial" w:hAnsi="Arial" w:cs="Arial"/>
    </w:rPr>
  </w:style>
  <w:style w:type="paragraph" w:styleId="BodyTextIndent3">
    <w:name w:val="Body Text Indent 3"/>
    <w:basedOn w:val="Normal"/>
    <w:qFormat/>
    <w:pPr>
      <w:ind w:hanging="720" w:start="1440" w:end="0"/>
    </w:pPr>
    <w:rPr>
      <w:rFonts w:ascii="Arial" w:hAnsi="Arial" w:cs="Arial"/>
    </w:rPr>
  </w:style>
  <w:style w:type="paragraph" w:styleId="ListBullet2">
    <w:name w:val="List Bullet 2"/>
    <w:basedOn w:val="Normal"/>
    <w:pPr>
      <w:ind w:hanging="360" w:start="72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mailto:kim.ward@enron.com" TargetMode="External"/><Relationship Id="rId5" Type="http://schemas.openxmlformats.org/officeDocument/2006/relationships/hyperlink" Target="http://www.enron.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2001-03-26T13:48:00Z</dcterms:created>
  <dc:creator>kward</dc:creator>
  <dc:description/>
  <dc:language>en-CA</dc:language>
  <cp:lastModifiedBy>kward</cp:lastModifiedBy>
  <cp:lastPrinted>2001-03-14T17:16:00Z</cp:lastPrinted>
  <dcterms:modified xsi:type="dcterms:W3CDTF">2001-03-26T22:45:00Z</dcterms:modified>
  <cp:revision>8</cp:revision>
  <dc:subject/>
  <dc:title> </dc:title>
</cp:coreProperties>
</file>