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object w:dxaOrig="1591" w:dyaOrig="157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9.55pt;height:78.75pt" filled="f" o:ole="">
            <v:imagedata r:id="rId3" o:title=""/>
          </v:shape>
          <o:OLEObject Type="Embed" ProgID="" ShapeID="ole_rId2" DrawAspect="Content" ObjectID="_1250127443" r:id="rId2"/>
        </w:object>
      </w:r>
    </w:p>
    <w:p>
      <w:pPr>
        <w:pStyle w:val="Normal"/>
        <w:rPr/>
      </w:pPr>
      <w:r>
        <w:rPr/>
      </w:r>
    </w:p>
    <w:p>
      <w:pPr>
        <w:pStyle w:val="Normal"/>
        <w:rPr/>
      </w:pPr>
      <w:r>
        <w:rPr/>
      </w:r>
    </w:p>
    <w:p>
      <w:pPr>
        <w:pStyle w:val="Heading"/>
        <w:rPr/>
      </w:pPr>
      <w:r>
        <w:rPr/>
        <w:t>SUMMARY OF TERMS FOR PROPOSED TRANSACTIONS BETWEEN</w:t>
      </w:r>
    </w:p>
    <w:p>
      <w:pPr>
        <w:pStyle w:val="Heading"/>
        <w:rPr>
          <w:b w:val="false"/>
        </w:rPr>
      </w:pPr>
      <w:r>
        <w:rPr/>
        <w:t xml:space="preserve"> </w:t>
      </w:r>
    </w:p>
    <w:p>
      <w:pPr>
        <w:pStyle w:val="Normal"/>
        <w:jc w:val="center"/>
        <w:rPr>
          <w:b/>
        </w:rPr>
      </w:pPr>
      <w:r>
        <w:rPr>
          <w:b/>
        </w:rPr>
        <w:t>THE CITY OF PALO ALTO (PALO ALTO)</w:t>
      </w:r>
    </w:p>
    <w:p>
      <w:pPr>
        <w:pStyle w:val="Normal"/>
        <w:jc w:val="center"/>
        <w:rPr>
          <w:b/>
        </w:rPr>
      </w:pPr>
      <w:r>
        <w:rPr>
          <w:b/>
        </w:rPr>
        <w:t>AND</w:t>
      </w:r>
    </w:p>
    <w:p>
      <w:pPr>
        <w:pStyle w:val="Normal"/>
        <w:jc w:val="center"/>
        <w:rPr>
          <w:b/>
        </w:rPr>
      </w:pPr>
      <w:r>
        <w:rPr>
          <w:b/>
        </w:rPr>
        <w:t>ENRON NORTH AMERICA CORP. (ENA)</w:t>
      </w:r>
    </w:p>
    <w:p>
      <w:pPr>
        <w:pStyle w:val="Normal"/>
        <w:jc w:val="center"/>
        <w:rPr>
          <w:b/>
        </w:rPr>
      </w:pPr>
      <w:r>
        <w:rPr>
          <w:b/>
        </w:rPr>
        <w:t xml:space="preserve"> </w:t>
      </w:r>
    </w:p>
    <w:p>
      <w:pPr>
        <w:pStyle w:val="Normal"/>
        <w:jc w:val="center"/>
        <w:rPr>
          <w:b/>
        </w:rPr>
      </w:pPr>
      <w:r>
        <w:rPr>
          <w:b/>
        </w:rPr>
        <w:t>IN RESPONSE TO RFP NUMBER 133171</w:t>
      </w:r>
    </w:p>
    <w:p>
      <w:pPr>
        <w:pStyle w:val="Normal"/>
        <w:jc w:val="center"/>
        <w:rPr>
          <w:b/>
        </w:rPr>
      </w:pPr>
      <w:r>
        <w:rPr>
          <w:b/>
        </w:rPr>
      </w:r>
    </w:p>
    <w:p>
      <w:pPr>
        <w:pStyle w:val="Heading2"/>
        <w:ind w:hanging="0" w:start="0"/>
        <w:rPr/>
      </w:pPr>
      <w:r>
        <w:rPr/>
        <w:t>March 15, 2000</w:t>
      </w:r>
    </w:p>
    <w:p>
      <w:pPr>
        <w:pStyle w:val="Normal"/>
        <w:rPr/>
      </w:pPr>
      <w:r>
        <w:rPr/>
      </w:r>
    </w:p>
    <w:p>
      <w:pPr>
        <w:pStyle w:val="Normal"/>
        <w:rPr/>
      </w:pPr>
      <w:r>
        <w:rPr/>
      </w:r>
    </w:p>
    <w:p>
      <w:pPr>
        <w:pStyle w:val="Normal"/>
        <w:rPr/>
      </w:pPr>
      <w:r>
        <w:rPr/>
        <w:t>Seller:</w:t>
        <w:tab/>
        <w:t>Enron North America (ENA)</w:t>
      </w:r>
    </w:p>
    <w:p>
      <w:pPr>
        <w:pStyle w:val="Normal"/>
        <w:rPr/>
      </w:pPr>
      <w:r>
        <w:rPr/>
      </w:r>
    </w:p>
    <w:p>
      <w:pPr>
        <w:pStyle w:val="Normal"/>
        <w:rPr/>
      </w:pPr>
      <w:r>
        <w:rPr/>
        <w:t xml:space="preserve">Buyer: </w:t>
        <w:tab/>
        <w:t>City of Palo Alto (Palo Alto)</w:t>
      </w:r>
    </w:p>
    <w:p>
      <w:pPr>
        <w:pStyle w:val="Normal"/>
        <w:rPr/>
      </w:pPr>
      <w:r>
        <w:rPr/>
      </w:r>
    </w:p>
    <w:p>
      <w:pPr>
        <w:pStyle w:val="Normal"/>
        <w:rPr/>
      </w:pPr>
      <w:r>
        <w:rPr/>
        <w:t>Term:     July 1, 2001 through June 30, 2004</w:t>
      </w:r>
    </w:p>
    <w:p>
      <w:pPr>
        <w:pStyle w:val="Normal"/>
        <w:rPr/>
      </w:pPr>
      <w:r>
        <w:rPr/>
      </w:r>
    </w:p>
    <w:p>
      <w:pPr>
        <w:pStyle w:val="Normal"/>
        <w:rPr/>
      </w:pPr>
      <w:r>
        <w:rPr/>
      </w:r>
    </w:p>
    <w:p>
      <w:pPr>
        <w:pStyle w:val="Normal"/>
        <w:numPr>
          <w:ilvl w:val="0"/>
          <w:numId w:val="4"/>
        </w:numPr>
        <w:rPr>
          <w:rFonts w:ascii="Arial; Helvetica" w:hAnsi="Arial; Helvetica" w:cs="Arial; Helvetica"/>
        </w:rPr>
      </w:pPr>
      <w:r>
        <w:rPr>
          <w:rFonts w:cs="Arial; Helvetica" w:ascii="Arial; Helvetica" w:hAnsi="Arial; Helvetica"/>
        </w:rPr>
        <w:t>Conditions under which ENA submits this response to Palo Alto’s request for a Natural Gas Supplier under RFP number 133171</w:t>
      </w:r>
    </w:p>
    <w:p>
      <w:pPr>
        <w:pStyle w:val="Normal"/>
        <w:rPr>
          <w:rFonts w:ascii="Arial; Helvetica" w:hAnsi="Arial; Helvetica" w:cs="Arial; Helvetica"/>
        </w:rPr>
      </w:pPr>
      <w:r>
        <w:rPr>
          <w:rFonts w:cs="Arial; Helvetica" w:ascii="Arial; Helvetica" w:hAnsi="Arial; Helvetica"/>
        </w:rPr>
      </w:r>
    </w:p>
    <w:p>
      <w:pPr>
        <w:pStyle w:val="Normal"/>
        <w:numPr>
          <w:ilvl w:val="0"/>
          <w:numId w:val="3"/>
        </w:numPr>
        <w:rPr/>
      </w:pPr>
      <w:r>
        <w:rPr>
          <w:rFonts w:cs="Arial; Helvetica" w:ascii="Arial; Helvetica" w:hAnsi="Arial; Helvetica"/>
        </w:rPr>
        <w:t>This proposal is for discussion purposes only to facilitate the negotiation, preparation and execution of a definitive agreement.  It is not intended to create a binding or enforceable contract or to be complete and all-inclusive of the terms of the related transaction.  This is not an offer or a commitment by ENA or any parent or affiliate of ENA.  The transaction described herein is subject to further review and approval of ENA and execution of definitive agreements containing all appropriate provisions</w:t>
      </w:r>
    </w:p>
    <w:p>
      <w:pPr>
        <w:pStyle w:val="Normal"/>
        <w:numPr>
          <w:ilvl w:val="0"/>
          <w:numId w:val="3"/>
        </w:numPr>
        <w:rPr/>
      </w:pPr>
      <w:r>
        <w:rPr>
          <w:rFonts w:cs="Arial; Helvetica" w:ascii="Arial; Helvetica" w:hAnsi="Arial; Helvetica"/>
        </w:rPr>
        <w:t>All terms agreed to as a result of this response shall be governed by the Enfolio Master Firm Purchase/Sale Agreement currently in negotiations between Palo Alto and ENA</w:t>
      </w:r>
    </w:p>
    <w:p>
      <w:pPr>
        <w:pStyle w:val="Normal"/>
        <w:rPr>
          <w:rFonts w:ascii="Arial; Helvetica" w:hAnsi="Arial; Helvetica" w:cs="Arial; Helvetica"/>
        </w:rPr>
      </w:pPr>
      <w:r>
        <w:rPr>
          <w:rFonts w:cs="Arial; Helvetica" w:ascii="Arial; Helvetica" w:hAnsi="Arial; Helvetica"/>
        </w:rPr>
      </w:r>
    </w:p>
    <w:p>
      <w:pPr>
        <w:pStyle w:val="Normal"/>
        <w:numPr>
          <w:ilvl w:val="0"/>
          <w:numId w:val="4"/>
        </w:numPr>
        <w:rPr>
          <w:rFonts w:ascii="Arial; Helvetica" w:hAnsi="Arial; Helvetica" w:cs="Arial; Helvetica"/>
        </w:rPr>
      </w:pPr>
      <w:r>
        <w:rPr>
          <w:rFonts w:cs="Arial; Helvetica" w:ascii="Arial; Helvetica" w:hAnsi="Arial; Helvetica"/>
        </w:rPr>
        <w:t>Proposal Summary:</w:t>
      </w:r>
    </w:p>
    <w:p>
      <w:pPr>
        <w:pStyle w:val="Normal"/>
        <w:rPr>
          <w:rFonts w:ascii="Arial; Helvetica" w:hAnsi="Arial; Helvetica" w:cs="Arial; Helvetica"/>
        </w:rPr>
      </w:pPr>
      <w:r>
        <w:rPr>
          <w:rFonts w:cs="Arial; Helvetica" w:ascii="Arial; Helvetica" w:hAnsi="Arial; Helvetica"/>
        </w:rPr>
      </w:r>
    </w:p>
    <w:p>
      <w:pPr>
        <w:pStyle w:val="Normal"/>
        <w:numPr>
          <w:ilvl w:val="0"/>
          <w:numId w:val="5"/>
        </w:numPr>
        <w:rPr>
          <w:rFonts w:ascii="Arial; Helvetica" w:hAnsi="Arial; Helvetica" w:cs="Arial; Helvetica"/>
        </w:rPr>
      </w:pPr>
      <w:r>
        <w:rPr>
          <w:rFonts w:cs="Arial; Helvetica" w:ascii="Arial; Helvetica" w:hAnsi="Arial; Helvetica"/>
        </w:rPr>
        <w:t>It is ENA’s intention to respond to Palo Alto’s request for the following:</w:t>
      </w:r>
    </w:p>
    <w:p>
      <w:pPr>
        <w:pStyle w:val="BodyTextIndent"/>
        <w:numPr>
          <w:ilvl w:val="0"/>
          <w:numId w:val="2"/>
        </w:numPr>
        <w:rPr/>
      </w:pPr>
      <w:r>
        <w:rPr/>
        <w:t>a natural gas supplier to serve all baseload and swing requirements for Palo Alto’s utility as well as potential retail load outside of the Palo Alto Utility</w:t>
      </w:r>
    </w:p>
    <w:p>
      <w:pPr>
        <w:pStyle w:val="BodyTextIndent"/>
        <w:numPr>
          <w:ilvl w:val="0"/>
          <w:numId w:val="2"/>
        </w:numPr>
        <w:rPr/>
      </w:pPr>
      <w:r>
        <w:rPr/>
        <w:t>a management services arrangement whereby ENA would provide risk management services, scheduling, transportation management, and market intelligence</w:t>
      </w:r>
    </w:p>
    <w:p>
      <w:pPr>
        <w:pStyle w:val="BodyTextIndent"/>
        <w:ind w:hanging="0" w:start="0" w:end="0"/>
        <w:rPr/>
      </w:pPr>
      <w:r>
        <w:rPr/>
      </w:r>
    </w:p>
    <w:p>
      <w:pPr>
        <w:pStyle w:val="Normal"/>
        <w:numPr>
          <w:ilvl w:val="0"/>
          <w:numId w:val="5"/>
        </w:numPr>
        <w:rPr>
          <w:rFonts w:ascii="Arial; Helvetica" w:hAnsi="Arial; Helvetica" w:cs="Arial; Helvetica"/>
        </w:rPr>
      </w:pPr>
      <w:r>
        <w:rPr>
          <w:rFonts w:cs="Arial; Helvetica" w:ascii="Arial; Helvetica" w:hAnsi="Arial; Helvetica"/>
        </w:rPr>
        <w:t xml:space="preserve">Enron Corp. is one of the world’s largest integrated energy companies and operates one of the largest natural gas transmission systems in the world.  As the largest natural gas wholesale marketer in North America, Enron is able to offer competitive pricing to its wholesale customers.  Enron’s Internet address is </w:t>
      </w:r>
      <w:hyperlink r:id="rId4">
        <w:r>
          <w:rPr>
            <w:rStyle w:val="Hyperlink"/>
          </w:rPr>
          <w:t>www.enron.com</w:t>
        </w:r>
      </w:hyperlink>
      <w:r>
        <w:rPr>
          <w:rFonts w:cs="Arial; Helvetica" w:ascii="Arial; Helvetica" w:hAnsi="Arial; Helvetica"/>
        </w:rPr>
        <w:t>, and the stock is traded on the New York Stock Exchange under the ticker symbol, “ENE”.</w:t>
      </w:r>
    </w:p>
    <w:p>
      <w:pPr>
        <w:pStyle w:val="Normal"/>
        <w:ind w:start="720" w:end="0"/>
        <w:rPr>
          <w:rFonts w:ascii="Arial; Helvetica" w:hAnsi="Arial; Helvetica" w:cs="Arial; Helvetica"/>
        </w:rPr>
      </w:pPr>
      <w:r>
        <w:rPr>
          <w:rFonts w:cs="Arial; Helvetica" w:ascii="Arial; Helvetica" w:hAnsi="Arial; Helvetica"/>
        </w:rPr>
      </w:r>
    </w:p>
    <w:p>
      <w:pPr>
        <w:pStyle w:val="Normal"/>
        <w:ind w:start="1080" w:end="0"/>
        <w:rPr>
          <w:rFonts w:ascii="Arial; Helvetica" w:hAnsi="Arial; Helvetica" w:cs="Arial; Helvetica"/>
        </w:rPr>
      </w:pPr>
      <w:r>
        <w:rPr>
          <w:rFonts w:cs="Arial; Helvetica" w:ascii="Arial; Helvetica" w:hAnsi="Arial; Helvetica"/>
        </w:rPr>
        <w:t>For the fifth consecutive year, Enron has been ranked the “Most Innovative” company in America by Fortune magazine in addition to being ranked #1 in “Quality of Management” and #2 in regards to “Employee Talent”.  Enron has a very sound financial standing with an S&amp;P, Duff &amp; Phelps, and Fitch credit rating of BBB+ and a Moody’s rating of Baa2 all in regards to senior debt.</w:t>
      </w:r>
    </w:p>
    <w:p>
      <w:pPr>
        <w:pStyle w:val="Normal"/>
        <w:ind w:start="1080" w:end="0"/>
        <w:rPr>
          <w:rFonts w:ascii="Arial; Helvetica" w:hAnsi="Arial; Helvetica" w:cs="Arial; Helvetica"/>
        </w:rPr>
      </w:pPr>
      <w:r>
        <w:rPr>
          <w:rFonts w:cs="Arial; Helvetica" w:ascii="Arial; Helvetica" w:hAnsi="Arial; Helvetica"/>
        </w:rPr>
      </w:r>
    </w:p>
    <w:p>
      <w:pPr>
        <w:pStyle w:val="Normal"/>
        <w:ind w:hanging="720" w:start="720" w:end="0"/>
        <w:rPr>
          <w:rFonts w:ascii="Arial; Helvetica" w:hAnsi="Arial; Helvetica" w:cs="Arial; Helvetica"/>
        </w:rPr>
      </w:pPr>
      <w:r>
        <w:rPr>
          <w:rFonts w:cs="Arial; Helvetica" w:ascii="Arial; Helvetica" w:hAnsi="Arial; Helvetica"/>
        </w:rPr>
        <w:tab/>
        <w:t>C.  Starting with section V of this document, Enron will address each point of the pricing      section of the RFP in order to facilitate an easy to follow response.</w:t>
      </w:r>
    </w:p>
    <w:p>
      <w:pPr>
        <w:pStyle w:val="BodyTextIndent"/>
        <w:ind w:hanging="0" w:start="720" w:end="0"/>
        <w:rPr>
          <w:rFonts w:ascii="Arial; Helvetica" w:hAnsi="Arial; Helvetica" w:cs="Arial; Helvetica"/>
        </w:rPr>
      </w:pPr>
      <w:r>
        <w:rPr>
          <w:rFonts w:cs="Arial; Helvetica"/>
        </w:rPr>
      </w:r>
    </w:p>
    <w:p>
      <w:pPr>
        <w:pStyle w:val="Normal"/>
        <w:rPr>
          <w:rFonts w:ascii="Arial; Helvetica" w:hAnsi="Arial; Helvetica" w:cs="Arial; Helvetica"/>
        </w:rPr>
      </w:pPr>
      <w:r>
        <w:rPr>
          <w:rFonts w:cs="Arial; Helvetica" w:ascii="Arial; Helvetica" w:hAnsi="Arial; Helvetica"/>
        </w:rPr>
      </w:r>
    </w:p>
    <w:p>
      <w:pPr>
        <w:pStyle w:val="Normal"/>
        <w:numPr>
          <w:ilvl w:val="0"/>
          <w:numId w:val="4"/>
        </w:numPr>
        <w:rPr>
          <w:rFonts w:ascii="Arial; Helvetica" w:hAnsi="Arial; Helvetica" w:cs="Arial; Helvetica"/>
        </w:rPr>
      </w:pPr>
      <w:r>
        <w:rPr>
          <w:rFonts w:cs="Arial; Helvetica" w:ascii="Arial; Helvetica" w:hAnsi="Arial; Helvetica"/>
          <w:b/>
          <w:u w:val="single"/>
        </w:rPr>
        <w:t>PROPOSER INFORMATION</w:t>
      </w:r>
      <w:r>
        <w:rPr>
          <w:rFonts w:cs="Arial; Helvetica" w:ascii="Arial; Helvetica" w:hAnsi="Arial; Helvetica"/>
        </w:rPr>
        <w:t xml:space="preserve"> as requested in Part II of RFP 133171</w:t>
      </w:r>
    </w:p>
    <w:p>
      <w:pPr>
        <w:pStyle w:val="Normal"/>
        <w:rPr>
          <w:rFonts w:ascii="Arial; Helvetica" w:hAnsi="Arial; Helvetica" w:cs="Arial; Helvetica"/>
        </w:rPr>
      </w:pPr>
      <w:r>
        <w:rPr>
          <w:rFonts w:cs="Arial; Helvetica" w:ascii="Arial; Helvetica" w:hAnsi="Arial; Helvetica"/>
        </w:rPr>
      </w:r>
    </w:p>
    <w:p>
      <w:pPr>
        <w:pStyle w:val="Normal"/>
        <w:ind w:start="720" w:end="0"/>
        <w:rPr>
          <w:rFonts w:ascii="Arial; Helvetica" w:hAnsi="Arial; Helvetica" w:cs="Arial; Helvetica"/>
        </w:rPr>
      </w:pPr>
      <w:r>
        <w:rPr>
          <w:rFonts w:cs="Arial; Helvetica" w:ascii="Arial; Helvetica" w:hAnsi="Arial; Helvetica"/>
        </w:rPr>
        <w:t>ENRON NORTH AMERICA CORP.</w:t>
      </w:r>
    </w:p>
    <w:p>
      <w:pPr>
        <w:pStyle w:val="Normal"/>
        <w:ind w:start="720" w:end="0"/>
        <w:rPr>
          <w:rFonts w:ascii="Arial; Helvetica" w:hAnsi="Arial; Helvetica" w:cs="Arial; Helvetica"/>
        </w:rPr>
      </w:pPr>
      <w:r>
        <w:rPr>
          <w:rFonts w:cs="Arial; Helvetica" w:ascii="Arial; Helvetica" w:hAnsi="Arial; Helvetica"/>
        </w:rPr>
        <w:t>1400 Smith Street</w:t>
      </w:r>
    </w:p>
    <w:p>
      <w:pPr>
        <w:pStyle w:val="Normal"/>
        <w:ind w:start="720" w:end="0"/>
        <w:rPr>
          <w:rFonts w:ascii="Arial; Helvetica" w:hAnsi="Arial; Helvetica" w:cs="Arial; Helvetica"/>
        </w:rPr>
      </w:pPr>
      <w:r>
        <w:rPr>
          <w:rFonts w:cs="Arial; Helvetica" w:ascii="Arial; Helvetica" w:hAnsi="Arial; Helvetica"/>
        </w:rPr>
        <w:t>Houston, TX  77002</w:t>
      </w:r>
    </w:p>
    <w:p>
      <w:pPr>
        <w:pStyle w:val="Normal"/>
        <w:ind w:start="720" w:end="0"/>
        <w:rPr>
          <w:rFonts w:ascii="Arial; Helvetica" w:hAnsi="Arial; Helvetica" w:cs="Arial; Helvetica"/>
        </w:rPr>
      </w:pPr>
      <w:r>
        <w:rPr>
          <w:rFonts w:cs="Arial; Helvetica" w:ascii="Arial; Helvetica" w:hAnsi="Arial; Helvetica"/>
        </w:rPr>
      </w:r>
    </w:p>
    <w:p>
      <w:pPr>
        <w:pStyle w:val="Normal"/>
        <w:ind w:start="720" w:end="0"/>
        <w:rPr>
          <w:rFonts w:ascii="Arial; Helvetica" w:hAnsi="Arial; Helvetica" w:cs="Arial; Helvetica"/>
        </w:rPr>
      </w:pPr>
      <w:r>
        <w:rPr>
          <w:rFonts w:cs="Arial; Helvetica" w:ascii="Arial; Helvetica" w:hAnsi="Arial; Helvetica"/>
        </w:rPr>
        <w:t>IRS Number:  76-0318139</w:t>
      </w:r>
    </w:p>
    <w:p>
      <w:pPr>
        <w:pStyle w:val="Normal"/>
        <w:ind w:start="720" w:end="0"/>
        <w:rPr>
          <w:rFonts w:ascii="Arial; Helvetica" w:hAnsi="Arial; Helvetica" w:cs="Arial; Helvetica"/>
        </w:rPr>
      </w:pPr>
      <w:r>
        <w:rPr>
          <w:rFonts w:cs="Arial; Helvetica" w:ascii="Arial; Helvetica" w:hAnsi="Arial; Helvetica"/>
        </w:rPr>
      </w:r>
    </w:p>
    <w:p>
      <w:pPr>
        <w:pStyle w:val="Normal"/>
        <w:ind w:start="720" w:end="0"/>
        <w:rPr>
          <w:rFonts w:ascii="Arial; Helvetica" w:hAnsi="Arial; Helvetica" w:cs="Arial; Helvetica"/>
        </w:rPr>
      </w:pPr>
      <w:r>
        <w:rPr>
          <w:rFonts w:cs="Arial; Helvetica" w:ascii="Arial; Helvetica" w:hAnsi="Arial; Helvetica"/>
        </w:rPr>
        <w:t>713-853-6161</w:t>
      </w:r>
    </w:p>
    <w:p>
      <w:pPr>
        <w:pStyle w:val="Normal"/>
        <w:ind w:start="720" w:end="0"/>
        <w:rPr>
          <w:rFonts w:ascii="Arial; Helvetica" w:hAnsi="Arial; Helvetica" w:cs="Arial; Helvetica"/>
        </w:rPr>
      </w:pPr>
      <w:r>
        <w:rPr>
          <w:rFonts w:cs="Arial; Helvetica" w:ascii="Arial; Helvetica" w:hAnsi="Arial; Helvetica"/>
        </w:rPr>
      </w:r>
    </w:p>
    <w:p>
      <w:pPr>
        <w:pStyle w:val="Normal"/>
        <w:numPr>
          <w:ilvl w:val="0"/>
          <w:numId w:val="10"/>
        </w:numPr>
        <w:rPr>
          <w:rFonts w:ascii="Arial; Helvetica" w:hAnsi="Arial; Helvetica" w:cs="Arial; Helvetica"/>
        </w:rPr>
      </w:pPr>
      <w:r>
        <w:rPr>
          <w:rFonts w:cs="Arial; Helvetica" w:ascii="Arial; Helvetica" w:hAnsi="Arial; Helvetica"/>
        </w:rPr>
        <w:t>Proposer is a Corporation organized under the laws of the State of Delaware with head offices located at 1400 Smith Street, Houston, Texas and offices in San Francisco, California.</w:t>
      </w:r>
    </w:p>
    <w:p>
      <w:pPr>
        <w:pStyle w:val="Normal"/>
        <w:rPr>
          <w:rFonts w:ascii="Arial; Helvetica" w:hAnsi="Arial; Helvetica" w:cs="Arial; Helvetica"/>
        </w:rPr>
      </w:pPr>
      <w:r>
        <w:rPr>
          <w:rFonts w:cs="Arial; Helvetica" w:ascii="Arial; Helvetica" w:hAnsi="Arial; Helvetica"/>
        </w:rPr>
      </w:r>
    </w:p>
    <w:p>
      <w:pPr>
        <w:pStyle w:val="Normal"/>
        <w:ind w:start="720" w:end="0"/>
        <w:rPr>
          <w:rFonts w:ascii="Arial; Helvetica" w:hAnsi="Arial; Helvetica" w:cs="Arial; Helvetica"/>
        </w:rPr>
      </w:pPr>
      <w:r>
        <w:rPr>
          <w:rFonts w:cs="Arial; Helvetica" w:ascii="Arial; Helvetica" w:hAnsi="Arial; Helvetica"/>
        </w:rPr>
        <w:t>B.  Enron has done business under the name of Enron since July, 1985.</w:t>
      </w:r>
    </w:p>
    <w:p>
      <w:pPr>
        <w:pStyle w:val="Normal"/>
        <w:ind w:start="720" w:end="0"/>
        <w:rPr>
          <w:rFonts w:ascii="Arial; Helvetica" w:hAnsi="Arial; Helvetica" w:cs="Arial; Helvetica"/>
        </w:rPr>
      </w:pPr>
      <w:r>
        <w:rPr>
          <w:rFonts w:cs="Arial; Helvetica" w:ascii="Arial; Helvetica" w:hAnsi="Arial; Helvetica"/>
        </w:rPr>
      </w:r>
    </w:p>
    <w:p>
      <w:pPr>
        <w:pStyle w:val="Normal"/>
        <w:ind w:start="720" w:end="0"/>
        <w:rPr>
          <w:rFonts w:ascii="Arial; Helvetica" w:hAnsi="Arial; Helvetica" w:cs="Arial; Helvetica"/>
        </w:rPr>
      </w:pPr>
      <w:r>
        <w:rPr>
          <w:rFonts w:cs="Arial; Helvetica" w:ascii="Arial; Helvetica" w:hAnsi="Arial; Helvetica"/>
        </w:rPr>
        <w:t>C.   Same as B. above</w:t>
      </w:r>
    </w:p>
    <w:p>
      <w:pPr>
        <w:pStyle w:val="Normal"/>
        <w:ind w:hanging="432" w:start="1152" w:end="0"/>
        <w:rPr>
          <w:rFonts w:ascii="Arial; Helvetica" w:hAnsi="Arial; Helvetica" w:cs="Arial; Helvetica"/>
        </w:rPr>
      </w:pPr>
      <w:r>
        <w:rPr>
          <w:rFonts w:cs="Arial; Helvetica" w:ascii="Arial; Helvetica" w:hAnsi="Arial; Helvetica"/>
        </w:rPr>
        <w:t>D.   Enron has established an industry-wide network of contacts and contractual arrangements that facilitate the efficient, reliable and economic delivery of natural gas.  Enron has participated in natural gas transactions with the vast majority of market participants in the United States, including California, ranging from physical delivery and financial swaps to full service asset management partnerships.</w:t>
      </w:r>
    </w:p>
    <w:p>
      <w:pPr>
        <w:pStyle w:val="Normal"/>
        <w:numPr>
          <w:ilvl w:val="0"/>
          <w:numId w:val="7"/>
        </w:numPr>
        <w:rPr>
          <w:rFonts w:ascii="Arial; Helvetica" w:hAnsi="Arial; Helvetica" w:cs="Arial; Helvetica"/>
        </w:rPr>
      </w:pPr>
      <w:r>
        <w:rPr>
          <w:rFonts w:cs="Arial; Helvetica" w:ascii="Arial; Helvetica" w:hAnsi="Arial; Helvetica"/>
        </w:rPr>
        <w:t xml:space="preserve">Enron has not directly provided natural gas or electricity products to the City of Palo Alto; however, it has provided energy services to Palo Alto indirectly through various arrangements with the Northern California Power Authority of which Palo Alto is a member, and through Suncor. </w:t>
      </w:r>
    </w:p>
    <w:p>
      <w:pPr>
        <w:pStyle w:val="Normal"/>
        <w:numPr>
          <w:ilvl w:val="0"/>
          <w:numId w:val="7"/>
        </w:numPr>
        <w:rPr>
          <w:rFonts w:ascii="Arial; Helvetica" w:hAnsi="Arial; Helvetica" w:cs="Arial; Helvetica"/>
        </w:rPr>
      </w:pPr>
      <w:r>
        <w:rPr>
          <w:rFonts w:cs="Arial; Helvetica" w:ascii="Arial; Helvetica" w:hAnsi="Arial; Helvetica"/>
        </w:rPr>
        <w:t>Not Applicable</w:t>
      </w:r>
    </w:p>
    <w:p>
      <w:pPr>
        <w:pStyle w:val="Normal"/>
        <w:numPr>
          <w:ilvl w:val="0"/>
          <w:numId w:val="7"/>
        </w:numPr>
        <w:rPr>
          <w:rFonts w:ascii="Arial; Helvetica" w:hAnsi="Arial; Helvetica" w:cs="Arial; Helvetica"/>
        </w:rPr>
      </w:pPr>
      <w:r>
        <w:rPr>
          <w:rFonts w:cs="Arial; Helvetica" w:ascii="Arial; Helvetica" w:hAnsi="Arial; Helvetica"/>
        </w:rPr>
        <w:t>Marketing:  Kim Ward*</w:t>
      </w:r>
    </w:p>
    <w:p>
      <w:pPr>
        <w:pStyle w:val="Normal"/>
        <w:ind w:start="1080" w:end="0"/>
        <w:rPr>
          <w:rFonts w:ascii="Arial; Helvetica" w:hAnsi="Arial; Helvetica" w:cs="Arial; Helvetica"/>
        </w:rPr>
      </w:pPr>
      <w:r>
        <w:rPr>
          <w:rFonts w:cs="Arial; Helvetica" w:ascii="Arial; Helvetica" w:hAnsi="Arial; Helvetica"/>
        </w:rPr>
        <w:t>Trading:     Mike Grigsby*</w:t>
      </w:r>
    </w:p>
    <w:p>
      <w:pPr>
        <w:pStyle w:val="Normal"/>
        <w:ind w:start="1080" w:end="0"/>
        <w:rPr>
          <w:rFonts w:ascii="Arial; Helvetica" w:hAnsi="Arial; Helvetica" w:cs="Arial; Helvetica"/>
        </w:rPr>
      </w:pPr>
      <w:r>
        <w:rPr>
          <w:rFonts w:cs="Arial; Helvetica" w:ascii="Arial; Helvetica" w:hAnsi="Arial; Helvetica"/>
        </w:rPr>
        <w:t>Scheduling:  Patti Sullivan*</w:t>
      </w:r>
    </w:p>
    <w:p>
      <w:pPr>
        <w:pStyle w:val="Normal"/>
        <w:ind w:start="1080" w:end="0"/>
        <w:rPr>
          <w:rFonts w:ascii="Arial; Helvetica" w:hAnsi="Arial; Helvetica" w:cs="Arial; Helvetica"/>
        </w:rPr>
      </w:pPr>
      <w:r>
        <w:rPr>
          <w:rFonts w:cs="Arial; Helvetica" w:ascii="Arial; Helvetica" w:hAnsi="Arial; Helvetica"/>
        </w:rPr>
        <w:t>*  Subject to change without notice</w:t>
      </w:r>
    </w:p>
    <w:p>
      <w:pPr>
        <w:pStyle w:val="Normal"/>
        <w:numPr>
          <w:ilvl w:val="0"/>
          <w:numId w:val="7"/>
        </w:numPr>
        <w:rPr>
          <w:rFonts w:ascii="Arial; Helvetica" w:hAnsi="Arial; Helvetica" w:cs="Arial; Helvetica"/>
        </w:rPr>
      </w:pPr>
      <w:r>
        <w:rPr>
          <w:rFonts w:cs="Arial; Helvetica" w:ascii="Arial; Helvetica" w:hAnsi="Arial; Helvetica"/>
        </w:rPr>
        <w:t>Not Applicable</w:t>
      </w:r>
    </w:p>
    <w:p>
      <w:pPr>
        <w:pStyle w:val="Normal"/>
        <w:numPr>
          <w:ilvl w:val="0"/>
          <w:numId w:val="7"/>
        </w:numPr>
        <w:rPr>
          <w:rFonts w:ascii="Arial; Helvetica" w:hAnsi="Arial; Helvetica" w:cs="Arial; Helvetica"/>
        </w:rPr>
      </w:pPr>
      <w:r>
        <w:rPr>
          <w:rFonts w:cs="Arial; Helvetica" w:ascii="Arial; Helvetica" w:hAnsi="Arial; Helvetica"/>
        </w:rPr>
        <w:t>Enron is not a Minority, or Women, or Disadvantaged Business Enterprise.</w:t>
      </w:r>
    </w:p>
    <w:p>
      <w:pPr>
        <w:pStyle w:val="Normal"/>
        <w:numPr>
          <w:ilvl w:val="0"/>
          <w:numId w:val="7"/>
        </w:numPr>
        <w:rPr>
          <w:rFonts w:ascii="Arial; Helvetica" w:hAnsi="Arial; Helvetica" w:cs="Arial; Helvetica"/>
        </w:rPr>
      </w:pPr>
      <w:r>
        <w:rPr>
          <w:rFonts w:cs="Arial; Helvetica" w:ascii="Arial; Helvetica" w:hAnsi="Arial; Helvetica"/>
        </w:rPr>
        <w:t>Enron is not a Small Business Concern</w:t>
      </w:r>
    </w:p>
    <w:p>
      <w:pPr>
        <w:pStyle w:val="Normal"/>
        <w:numPr>
          <w:ilvl w:val="0"/>
          <w:numId w:val="7"/>
        </w:numPr>
        <w:rPr>
          <w:rFonts w:ascii="Arial; Helvetica" w:hAnsi="Arial; Helvetica" w:cs="Arial; Helvetica"/>
        </w:rPr>
      </w:pPr>
      <w:r>
        <w:rPr>
          <w:rFonts w:cs="Arial; Helvetica" w:ascii="Arial; Helvetica" w:hAnsi="Arial; Helvetica"/>
        </w:rPr>
        <w:t>Not Applicable</w:t>
      </w:r>
    </w:p>
    <w:p>
      <w:pPr>
        <w:pStyle w:val="Normal"/>
        <w:numPr>
          <w:ilvl w:val="0"/>
          <w:numId w:val="7"/>
        </w:numPr>
        <w:rPr>
          <w:rFonts w:ascii="Arial; Helvetica" w:hAnsi="Arial; Helvetica" w:cs="Arial; Helvetica"/>
        </w:rPr>
      </w:pPr>
      <w:r>
        <w:rPr>
          <w:rFonts w:cs="Arial; Helvetica" w:ascii="Arial; Helvetica" w:hAnsi="Arial; Helvetica"/>
        </w:rPr>
        <w:t>No addendum/Addenda were received from Palo Alto.</w:t>
      </w:r>
    </w:p>
    <w:p>
      <w:pPr>
        <w:pStyle w:val="Normal"/>
        <w:numPr>
          <w:ilvl w:val="0"/>
          <w:numId w:val="7"/>
        </w:numPr>
        <w:rPr>
          <w:rFonts w:ascii="Arial; Helvetica" w:hAnsi="Arial; Helvetica" w:cs="Arial; Helvetica"/>
        </w:rPr>
      </w:pPr>
      <w:r>
        <w:rPr>
          <w:rFonts w:cs="Arial; Helvetica" w:ascii="Arial; Helvetica" w:hAnsi="Arial; Helvetica"/>
        </w:rPr>
        <w:t>Enron represents that it has not retained a person to solicit or secure a City contract (upon an agreement or understanding for a commission, percentage, brokerage, or contingent fee) except for retention of bona fide employee or bona fide established commercial selling agencies for the purpose of securing business.</w:t>
      </w:r>
    </w:p>
    <w:p>
      <w:pPr>
        <w:pStyle w:val="Normal"/>
        <w:numPr>
          <w:ilvl w:val="0"/>
          <w:numId w:val="7"/>
        </w:numPr>
        <w:rPr>
          <w:rFonts w:ascii="Arial; Helvetica" w:hAnsi="Arial; Helvetica" w:cs="Arial; Helvetica"/>
        </w:rPr>
      </w:pPr>
      <w:r>
        <w:rPr>
          <w:rFonts w:cs="Arial; Helvetica" w:ascii="Arial; Helvetica" w:hAnsi="Arial; Helvetica"/>
        </w:rPr>
        <w:t>Enron’s designated contact:</w:t>
      </w:r>
    </w:p>
    <w:p>
      <w:pPr>
        <w:pStyle w:val="Normal"/>
        <w:ind w:start="1080" w:end="0"/>
        <w:rPr>
          <w:rFonts w:ascii="Arial; Helvetica" w:hAnsi="Arial; Helvetica" w:cs="Arial; Helvetica"/>
        </w:rPr>
      </w:pPr>
      <w:r>
        <w:rPr>
          <w:rFonts w:cs="Arial; Helvetica" w:ascii="Arial; Helvetica" w:hAnsi="Arial; Helvetica"/>
        </w:rPr>
        <w:t>Kim Ward*</w:t>
      </w:r>
    </w:p>
    <w:p>
      <w:pPr>
        <w:pStyle w:val="Normal"/>
        <w:ind w:start="1080" w:end="0"/>
        <w:rPr>
          <w:rFonts w:ascii="Arial; Helvetica" w:hAnsi="Arial; Helvetica" w:cs="Arial; Helvetica"/>
        </w:rPr>
      </w:pPr>
      <w:r>
        <w:rPr>
          <w:rFonts w:cs="Arial; Helvetica" w:ascii="Arial; Helvetica" w:hAnsi="Arial; Helvetica"/>
        </w:rPr>
        <w:t>Manager, West Gas Origination</w:t>
      </w:r>
    </w:p>
    <w:p>
      <w:pPr>
        <w:pStyle w:val="Normal"/>
        <w:ind w:start="1080" w:end="0"/>
        <w:rPr>
          <w:rFonts w:ascii="Arial; Helvetica" w:hAnsi="Arial; Helvetica" w:cs="Arial; Helvetica"/>
        </w:rPr>
      </w:pPr>
      <w:r>
        <w:rPr>
          <w:rFonts w:cs="Arial; Helvetica" w:ascii="Arial; Helvetica" w:hAnsi="Arial; Helvetica"/>
        </w:rPr>
        <w:t>713-853-0685</w:t>
      </w:r>
    </w:p>
    <w:p>
      <w:pPr>
        <w:pStyle w:val="Normal"/>
        <w:ind w:start="1080" w:end="0"/>
        <w:rPr>
          <w:rFonts w:ascii="Arial; Helvetica" w:hAnsi="Arial; Helvetica" w:cs="Arial; Helvetica"/>
        </w:rPr>
      </w:pPr>
      <w:r>
        <w:rPr>
          <w:rFonts w:cs="Arial; Helvetica" w:ascii="Arial; Helvetica" w:hAnsi="Arial; Helvetica"/>
        </w:rPr>
        <w:t>713-646-2391</w:t>
      </w:r>
    </w:p>
    <w:p>
      <w:pPr>
        <w:pStyle w:val="Normal"/>
        <w:ind w:start="1080" w:end="0"/>
        <w:rPr>
          <w:rFonts w:ascii="Arial; Helvetica" w:hAnsi="Arial; Helvetica" w:cs="Arial; Helvetica"/>
        </w:rPr>
      </w:pPr>
      <w:r>
        <w:rPr>
          <w:rFonts w:cs="Arial; Helvetica" w:ascii="Arial; Helvetica" w:hAnsi="Arial; Helvetica"/>
        </w:rPr>
        <w:t>* Subject to change without notice</w:t>
      </w:r>
    </w:p>
    <w:p>
      <w:pPr>
        <w:pStyle w:val="Normal"/>
        <w:numPr>
          <w:ilvl w:val="0"/>
          <w:numId w:val="7"/>
        </w:numPr>
        <w:rPr>
          <w:rFonts w:ascii="Arial; Helvetica" w:hAnsi="Arial; Helvetica" w:cs="Arial; Helvetica"/>
        </w:rPr>
      </w:pPr>
      <w:r>
        <w:rPr>
          <w:rFonts w:cs="Arial; Helvetica" w:ascii="Arial; Helvetica" w:hAnsi="Arial; Helvetica"/>
        </w:rPr>
        <w:t>Enron and the individuals listed below, certify that they do not discriminate in employment with regards to age, race, color, religion, sex, national origin, ancestry, disability, or sexual preference; that they are in compliance with all federal, state, and local directives and executive orders regarding nondiscrimination in employment.</w:t>
      </w:r>
    </w:p>
    <w:p>
      <w:pPr>
        <w:pStyle w:val="Normal"/>
        <w:numPr>
          <w:ilvl w:val="0"/>
          <w:numId w:val="7"/>
        </w:numPr>
        <w:rPr>
          <w:rFonts w:ascii="Arial; Helvetica" w:hAnsi="Arial; Helvetica" w:cs="Arial; Helvetica"/>
        </w:rPr>
      </w:pPr>
      <w:r>
        <w:rPr>
          <w:rFonts w:cs="Arial; Helvetica" w:ascii="Arial; Helvetica" w:hAnsi="Arial; Helvetica"/>
        </w:rPr>
        <w:t>Not Applicable</w:t>
      </w:r>
    </w:p>
    <w:p>
      <w:pPr>
        <w:pStyle w:val="Normal"/>
        <w:numPr>
          <w:ilvl w:val="0"/>
          <w:numId w:val="7"/>
        </w:numPr>
        <w:rPr>
          <w:rFonts w:ascii="Arial; Helvetica" w:hAnsi="Arial; Helvetica" w:cs="Arial; Helvetica"/>
        </w:rPr>
      </w:pPr>
      <w:r>
        <w:rPr>
          <w:rFonts w:cs="Helv" w:ascii="Helv" w:hAnsi="Helv"/>
          <w:color w:val="000000"/>
          <w:lang w:eastAsia="en-US"/>
        </w:rPr>
        <w:t>Final Contract and Transaction Agreement will be signed by a Vice President of Enron North America Corp. and as agreed with the City's counsel, a Certificate of Incumbency shall be provided to verify that the person signing is an officer of the Company.</w:t>
      </w:r>
    </w:p>
    <w:p>
      <w:pPr>
        <w:pStyle w:val="Normal"/>
        <w:numPr>
          <w:ilvl w:val="0"/>
          <w:numId w:val="7"/>
        </w:numPr>
        <w:rPr>
          <w:rFonts w:ascii="Arial; Helvetica" w:hAnsi="Arial; Helvetica" w:cs="Arial; Helvetica"/>
        </w:rPr>
      </w:pPr>
      <w:r>
        <w:rPr>
          <w:rFonts w:cs="Arial; Helvetica" w:ascii="Arial; Helvetica" w:hAnsi="Arial; Helvetica"/>
        </w:rPr>
        <w:t>Not Applicable</w:t>
      </w:r>
    </w:p>
    <w:p>
      <w:pPr>
        <w:pStyle w:val="Normal"/>
        <w:rPr>
          <w:rFonts w:ascii="Arial; Helvetica" w:hAnsi="Arial; Helvetica" w:cs="Arial; Helvetica"/>
        </w:rPr>
      </w:pPr>
      <w:r>
        <w:rPr>
          <w:rFonts w:cs="Arial; Helvetica" w:ascii="Arial; Helvetica" w:hAnsi="Arial; Helvetica"/>
        </w:rPr>
      </w:r>
    </w:p>
    <w:p>
      <w:pPr>
        <w:pStyle w:val="Normal"/>
        <w:numPr>
          <w:ilvl w:val="0"/>
          <w:numId w:val="4"/>
        </w:numPr>
        <w:rPr>
          <w:rFonts w:ascii="Arial; Helvetica" w:hAnsi="Arial; Helvetica" w:cs="Arial; Helvetica"/>
        </w:rPr>
      </w:pPr>
      <w:r>
        <w:rPr>
          <w:rFonts w:cs="Arial; Helvetica" w:ascii="Arial; Helvetica" w:hAnsi="Arial; Helvetica"/>
        </w:rPr>
        <w:t>INSURANCE REQUIREMENTS – Not Applicable</w:t>
      </w:r>
    </w:p>
    <w:p>
      <w:pPr>
        <w:pStyle w:val="Normal"/>
        <w:rPr>
          <w:rFonts w:ascii="Arial; Helvetica" w:hAnsi="Arial; Helvetica" w:cs="Arial; Helvetica"/>
        </w:rPr>
      </w:pPr>
      <w:r>
        <w:rPr>
          <w:rFonts w:cs="Arial; Helvetica" w:ascii="Arial; Helvetica" w:hAnsi="Arial; Helvetica"/>
        </w:rPr>
      </w:r>
    </w:p>
    <w:p>
      <w:pPr>
        <w:pStyle w:val="Normal"/>
        <w:numPr>
          <w:ilvl w:val="0"/>
          <w:numId w:val="4"/>
        </w:numPr>
        <w:rPr>
          <w:rFonts w:ascii="Arial; Helvetica" w:hAnsi="Arial; Helvetica" w:cs="Arial; Helvetica"/>
        </w:rPr>
      </w:pPr>
      <w:r>
        <w:rPr>
          <w:rFonts w:cs="Arial; Helvetica" w:ascii="Arial; Helvetica" w:hAnsi="Arial; Helvetica"/>
        </w:rPr>
        <w:t>Scope of Work or Services – Section 4 – Pricing</w:t>
      </w:r>
    </w:p>
    <w:p>
      <w:pPr>
        <w:pStyle w:val="Normal"/>
        <w:rPr>
          <w:rFonts w:ascii="Arial; Helvetica" w:hAnsi="Arial; Helvetica" w:cs="Arial; Helvetica"/>
        </w:rPr>
      </w:pPr>
      <w:r>
        <w:rPr>
          <w:rFonts w:cs="Arial; Helvetica" w:ascii="Arial; Helvetica" w:hAnsi="Arial; Helvetica"/>
        </w:rPr>
      </w:r>
    </w:p>
    <w:p>
      <w:pPr>
        <w:pStyle w:val="Normal"/>
        <w:numPr>
          <w:ilvl w:val="1"/>
          <w:numId w:val="8"/>
        </w:numPr>
        <w:rPr>
          <w:rFonts w:ascii="Arial; Helvetica" w:hAnsi="Arial; Helvetica" w:cs="Arial; Helvetica"/>
        </w:rPr>
      </w:pPr>
      <w:r>
        <w:rPr>
          <w:rFonts w:cs="Arial; Helvetica" w:ascii="Arial; Helvetica" w:hAnsi="Arial; Helvetica"/>
        </w:rPr>
        <w:t>Seller proposes to supply Buyer’s baseload gas requirements priced at a first-of-the-month index with an alternative pricing structure to be applied to swing load.  See 4.2 and 4.3 below.  Seller proposes to be Buyer’s authorized marketer as defined by the tariffs of PG&amp;E.  Buyer shall pay for all amounts of gas transported on the PG&amp;E system related to their load requirements as documented by their transportation invoice.</w:t>
      </w:r>
    </w:p>
    <w:p>
      <w:pPr>
        <w:pStyle w:val="Normal"/>
        <w:numPr>
          <w:ilvl w:val="1"/>
          <w:numId w:val="8"/>
        </w:numPr>
        <w:rPr>
          <w:rFonts w:ascii="Arial; Helvetica" w:hAnsi="Arial; Helvetica" w:cs="Arial; Helvetica"/>
        </w:rPr>
      </w:pPr>
      <w:r>
        <w:rPr>
          <w:rFonts w:cs="Arial; Helvetica" w:ascii="Arial; Helvetica" w:hAnsi="Arial; Helvetica"/>
        </w:rPr>
        <w:t>At least five days prior to the last trading day of that month’s NYMEX futures contract, Buyer shall notify Seller of the Baseload Daily Quantity (“BDQ”) for the following month. The BDQ shall be the daily quantity that Buyer shall purchase from the seller each day during the delivery month.  If buyer fails to notify seller of the BDQ by the deadline, the BDQ shall be the average daily quantity that buyer purchased from seller during the previous month.</w:t>
      </w:r>
    </w:p>
    <w:p>
      <w:pPr>
        <w:pStyle w:val="Normal"/>
        <w:ind w:start="1155" w:end="0"/>
        <w:rPr>
          <w:rFonts w:ascii="Arial; Helvetica" w:hAnsi="Arial; Helvetica" w:cs="Arial; Helvetica"/>
        </w:rPr>
      </w:pPr>
      <w:r>
        <w:rPr>
          <w:rFonts w:cs="Arial; Helvetica" w:ascii="Arial; Helvetica" w:hAnsi="Arial; Helvetica"/>
        </w:rPr>
      </w:r>
    </w:p>
    <w:p>
      <w:pPr>
        <w:pStyle w:val="Normal"/>
        <w:ind w:start="1155" w:end="0"/>
        <w:rPr/>
      </w:pPr>
      <w:r>
        <w:rPr>
          <w:rFonts w:cs="Arial; Helvetica" w:ascii="Arial; Helvetica" w:hAnsi="Arial; Helvetica"/>
        </w:rPr>
        <w:t xml:space="preserve">The Contract Price for the first 6,197 MMBtu of buyer’s BDQ scheduled prior to the month shall be the price published in </w:t>
      </w:r>
      <w:r>
        <w:rPr>
          <w:rFonts w:cs="Arial; Helvetica" w:ascii="Arial; Helvetica" w:hAnsi="Arial; Helvetica"/>
          <w:u w:val="single"/>
        </w:rPr>
        <w:t>Natural Gas Intelligence Gas Price Index</w:t>
      </w:r>
      <w:r>
        <w:rPr>
          <w:rFonts w:cs="Arial; Helvetica" w:ascii="Arial; Helvetica" w:hAnsi="Arial; Helvetica"/>
        </w:rPr>
        <w:t>, or successor publication, in the first issue of the delivery month, in the table titled “California”, on the line titled “Malin” plus $.04 per MMBtu.</w:t>
      </w:r>
    </w:p>
    <w:p>
      <w:pPr>
        <w:pStyle w:val="Normal"/>
        <w:ind w:start="1155" w:end="0"/>
        <w:rPr>
          <w:rFonts w:ascii="Arial; Helvetica" w:hAnsi="Arial; Helvetica" w:cs="Arial; Helvetica"/>
        </w:rPr>
      </w:pPr>
      <w:r>
        <w:rPr>
          <w:rFonts w:cs="Arial; Helvetica" w:ascii="Arial; Helvetica" w:hAnsi="Arial; Helvetica"/>
        </w:rPr>
      </w:r>
    </w:p>
    <w:p>
      <w:pPr>
        <w:pStyle w:val="Normal"/>
        <w:ind w:start="1155" w:end="0"/>
        <w:rPr>
          <w:rFonts w:ascii="Arial; Helvetica" w:hAnsi="Arial; Helvetica" w:cs="Arial; Helvetica"/>
        </w:rPr>
      </w:pPr>
      <w:r>
        <w:rPr>
          <w:rFonts w:cs="Arial; Helvetica" w:ascii="Arial; Helvetica" w:hAnsi="Arial; Helvetica"/>
        </w:rPr>
        <w:t>After the start of the Month, if Buyer believes that its usage is higher or lower than the BDQ, beyond the tolerance permitted by PG&amp;E at the time, Buyer shall contact Seller to purchase additional supplies from Seller or to sell back a portion of such BDQ to Seller at the fixed price communicated by the Seller to the Buyer for the balance of that month. The Daily Contract Quantity can be a positive or negative difference between the amount scheduled by the Buyer and the BDQ.</w:t>
      </w:r>
    </w:p>
    <w:p>
      <w:pPr>
        <w:pStyle w:val="Normal"/>
        <w:ind w:start="1155" w:end="0"/>
        <w:rPr>
          <w:rFonts w:ascii="Arial; Helvetica" w:hAnsi="Arial; Helvetica" w:cs="Arial; Helvetica"/>
        </w:rPr>
      </w:pPr>
      <w:r>
        <w:rPr>
          <w:rFonts w:cs="Arial; Helvetica" w:ascii="Arial; Helvetica" w:hAnsi="Arial; Helvetica"/>
        </w:rPr>
      </w:r>
    </w:p>
    <w:p>
      <w:pPr>
        <w:pStyle w:val="Normal"/>
        <w:ind w:start="1155" w:end="0"/>
        <w:rPr/>
      </w:pPr>
      <w:r>
        <w:rPr>
          <w:rFonts w:cs="Arial; Helvetica" w:ascii="Arial; Helvetica" w:hAnsi="Arial; Helvetica"/>
        </w:rPr>
        <w:t xml:space="preserve">The Contract Price for any positive Daily Swing Load Quantity (”SLQ”) in excess of the BDQ, and any positive DCQ, but less than the 6.197 MMBtu of Redwood capacity shall be equal to the Mid-Point Index, as posted in </w:t>
      </w:r>
      <w:r>
        <w:rPr>
          <w:rFonts w:cs="Arial; Helvetica" w:ascii="Arial; Helvetica" w:hAnsi="Arial; Helvetica"/>
          <w:u w:val="single"/>
        </w:rPr>
        <w:t>Financial Times Energy’s Gas Daily</w:t>
      </w:r>
      <w:r>
        <w:rPr>
          <w:rFonts w:cs="Arial; Helvetica" w:ascii="Arial; Helvetica" w:hAnsi="Arial; Helvetica"/>
        </w:rPr>
        <w:t xml:space="preserve"> publication, or successor publication, in the column “Daily Price Survey”, under the heading “Others”, for Malin gas, mid-point of the common range, plus $.02/MMBtu.  If Gas Daily does not publish a range for a particular day, the range reported in the next issue shall be used.</w:t>
      </w:r>
    </w:p>
    <w:p>
      <w:pPr>
        <w:pStyle w:val="Normal"/>
        <w:ind w:start="1155" w:end="0"/>
        <w:rPr>
          <w:rFonts w:ascii="Arial; Helvetica" w:hAnsi="Arial; Helvetica" w:cs="Arial; Helvetica"/>
        </w:rPr>
      </w:pPr>
      <w:r>
        <w:rPr>
          <w:rFonts w:cs="Arial; Helvetica" w:ascii="Arial; Helvetica" w:hAnsi="Arial; Helvetica"/>
        </w:rPr>
      </w:r>
    </w:p>
    <w:p>
      <w:pPr>
        <w:pStyle w:val="Normal"/>
        <w:ind w:start="1155" w:end="0"/>
        <w:rPr>
          <w:rFonts w:ascii="Arial; Helvetica" w:hAnsi="Arial; Helvetica" w:cs="Arial; Helvetica"/>
        </w:rPr>
      </w:pPr>
      <w:r>
        <w:rPr>
          <w:rFonts w:cs="Arial; Helvetica" w:ascii="Arial; Helvetica" w:hAnsi="Arial; Helvetica"/>
        </w:rPr>
        <w:t>Buyer shall be expected to actively participate in scheduling by communicating an estimate of buyer’s total load quantity on a daily basis.  If Buyer does not schedule a DCQ or properly communicate an estimate of the Buyers total load, and Seller incurs imbalance penalties from PG&amp;E, and such charges would not have been incurred had buyer communicated a reasonably estimated quantity, Buyer shall reimburse Seller for such imbalance charges based on the assumption that Seller delivered the BDQ plus the DCQ.</w:t>
      </w:r>
    </w:p>
    <w:p>
      <w:pPr>
        <w:pStyle w:val="Normal"/>
        <w:ind w:start="1155" w:end="0"/>
        <w:rPr>
          <w:rFonts w:ascii="Arial; Helvetica" w:hAnsi="Arial; Helvetica" w:cs="Arial; Helvetica"/>
        </w:rPr>
      </w:pPr>
      <w:r>
        <w:rPr>
          <w:rFonts w:cs="Arial; Helvetica" w:ascii="Arial; Helvetica" w:hAnsi="Arial; Helvetica"/>
        </w:rPr>
        <w:tab/>
      </w:r>
    </w:p>
    <w:p>
      <w:pPr>
        <w:pStyle w:val="Normal"/>
        <w:numPr>
          <w:ilvl w:val="1"/>
          <w:numId w:val="8"/>
        </w:numPr>
        <w:rPr>
          <w:rFonts w:ascii="Arial; Helvetica" w:hAnsi="Arial; Helvetica" w:cs="Arial; Helvetica"/>
        </w:rPr>
      </w:pPr>
      <w:r>
        <w:rPr>
          <w:rFonts w:cs="Arial; Helvetica" w:ascii="Arial; Helvetica" w:hAnsi="Arial; Helvetica"/>
        </w:rPr>
        <w:t xml:space="preserve">The Contract Price for Buyer’s BDQ in excess of 6,197 MMBtu scheduled prior to the month shall be the price published in </w:t>
      </w:r>
      <w:r>
        <w:rPr>
          <w:rFonts w:cs="Arial; Helvetica" w:ascii="Arial; Helvetica" w:hAnsi="Arial; Helvetica"/>
          <w:u w:val="single"/>
        </w:rPr>
        <w:t>Natural Gas Intelligence Gas Price Index</w:t>
      </w:r>
      <w:r>
        <w:rPr>
          <w:rFonts w:cs="Arial; Helvetica" w:ascii="Arial; Helvetica" w:hAnsi="Arial; Helvetica"/>
        </w:rPr>
        <w:t>, or successor publication, in the first issue of the delivery month, in the table titled “California”, on the line titled “PG&amp;E City Gate” plus $.02 per MMBtu.</w:t>
      </w:r>
    </w:p>
    <w:p>
      <w:pPr>
        <w:pStyle w:val="Normal"/>
        <w:ind w:start="765" w:end="0"/>
        <w:rPr>
          <w:rFonts w:ascii="Arial; Helvetica" w:hAnsi="Arial; Helvetica" w:cs="Arial; Helvetica"/>
        </w:rPr>
      </w:pPr>
      <w:r>
        <w:rPr>
          <w:rFonts w:cs="Arial; Helvetica" w:ascii="Arial; Helvetica" w:hAnsi="Arial; Helvetica"/>
        </w:rPr>
      </w:r>
    </w:p>
    <w:p>
      <w:pPr>
        <w:pStyle w:val="Normal"/>
        <w:ind w:start="1155" w:end="0"/>
        <w:rPr/>
      </w:pPr>
      <w:r>
        <w:rPr>
          <w:rFonts w:cs="Arial; Helvetica" w:ascii="Arial; Helvetica" w:hAnsi="Arial; Helvetica"/>
        </w:rPr>
        <w:t xml:space="preserve">The Contract Price for any positive Daily Swing Load Quantity (”SLQ”) in excess of 6.197 MMBtu of Redwood capacity shall be equal to the Mid-Point Index, as posted in </w:t>
      </w:r>
      <w:r>
        <w:rPr>
          <w:rFonts w:cs="Arial; Helvetica" w:ascii="Arial; Helvetica" w:hAnsi="Arial; Helvetica"/>
          <w:u w:val="single"/>
        </w:rPr>
        <w:t>Financial Times Energy’s Gas Daily</w:t>
      </w:r>
      <w:r>
        <w:rPr>
          <w:rFonts w:cs="Arial; Helvetica" w:ascii="Arial; Helvetica" w:hAnsi="Arial; Helvetica"/>
        </w:rPr>
        <w:t xml:space="preserve"> publication, or successor publication, in the column “Daily Price Survey”, under the heading “Others”, for PG&amp;E, large pkgs, mid-point of the common range, plus $.02/MMBtu.  If Gas Daily does not publish a range for a particular day, the range reported in the next issue shall be used.</w:t>
      </w:r>
    </w:p>
    <w:p>
      <w:pPr>
        <w:pStyle w:val="Normal"/>
        <w:ind w:start="1155" w:end="0"/>
        <w:rPr>
          <w:rFonts w:ascii="Arial; Helvetica" w:hAnsi="Arial; Helvetica" w:cs="Arial; Helvetica"/>
        </w:rPr>
      </w:pPr>
      <w:r>
        <w:rPr>
          <w:rFonts w:cs="Arial; Helvetica" w:ascii="Arial; Helvetica" w:hAnsi="Arial; Helvetica"/>
        </w:rPr>
      </w:r>
    </w:p>
    <w:p>
      <w:pPr>
        <w:pStyle w:val="ListBullet2"/>
        <w:ind w:firstLine="360" w:end="0"/>
        <w:rPr>
          <w:rFonts w:ascii="Arial; Helvetica" w:hAnsi="Arial; Helvetica" w:cs="Arial; Helvetica"/>
          <w:b/>
          <w:sz w:val="20"/>
        </w:rPr>
      </w:pPr>
      <w:r>
        <w:rPr>
          <w:rFonts w:cs="Arial; Helvetica" w:ascii="Arial; Helvetica" w:hAnsi="Arial; Helvetica"/>
          <w:b/>
          <w:sz w:val="20"/>
        </w:rPr>
        <w:t>OFO Management</w:t>
      </w:r>
    </w:p>
    <w:p>
      <w:pPr>
        <w:pStyle w:val="ListBullet2"/>
        <w:numPr>
          <w:ilvl w:val="0"/>
          <w:numId w:val="11"/>
        </w:numPr>
        <w:rPr>
          <w:rFonts w:ascii="Arial; Helvetica" w:hAnsi="Arial; Helvetica" w:cs="Arial; Helvetica"/>
          <w:sz w:val="20"/>
        </w:rPr>
      </w:pPr>
      <w:r>
        <w:rPr>
          <w:rFonts w:cs="Arial; Helvetica" w:ascii="Arial; Helvetica" w:hAnsi="Arial; Helvetica"/>
          <w:sz w:val="20"/>
        </w:rPr>
        <w:t>Buyer shall assign an individual that Seller can contact 24-hours/day to manage PG&amp;E Operational Flow Order (OFO) events.</w:t>
      </w:r>
    </w:p>
    <w:p>
      <w:pPr>
        <w:pStyle w:val="ListBullet2"/>
        <w:numPr>
          <w:ilvl w:val="0"/>
          <w:numId w:val="11"/>
        </w:numPr>
        <w:rPr>
          <w:rFonts w:ascii="Arial; Helvetica" w:hAnsi="Arial; Helvetica" w:cs="Arial; Helvetica"/>
          <w:sz w:val="20"/>
        </w:rPr>
      </w:pPr>
      <w:r>
        <w:rPr>
          <w:rFonts w:cs="Arial; Helvetica" w:ascii="Arial; Helvetica" w:hAnsi="Arial; Helvetica"/>
          <w:sz w:val="20"/>
        </w:rPr>
        <w:t>Seller shall be responsible for notifying Buyer in the event of a PG&amp;E Operational Flow Order (OFO) requiring that Daily deliveries and usage equal each other within the tolerance permitted by PG&amp;E.  Notification shall be by telephone call on Seller’s recorded line noting the date and time of such call.</w:t>
      </w:r>
    </w:p>
    <w:p>
      <w:pPr>
        <w:pStyle w:val="ListBullet2"/>
        <w:numPr>
          <w:ilvl w:val="0"/>
          <w:numId w:val="11"/>
        </w:numPr>
        <w:rPr>
          <w:rFonts w:ascii="Arial; Helvetica" w:hAnsi="Arial; Helvetica" w:cs="Arial; Helvetica"/>
          <w:sz w:val="20"/>
        </w:rPr>
      </w:pPr>
      <w:r>
        <w:rPr>
          <w:rFonts w:cs="Arial; Helvetica" w:ascii="Arial; Helvetica" w:hAnsi="Arial; Helvetica"/>
          <w:sz w:val="20"/>
        </w:rPr>
        <w:t>Upon notification by Seller of an OFO event, Buyer shall set an OFO Quantity as the target for Seller to deliver during the OFO event.</w:t>
      </w:r>
    </w:p>
    <w:p>
      <w:pPr>
        <w:pStyle w:val="ListBullet2"/>
        <w:numPr>
          <w:ilvl w:val="0"/>
          <w:numId w:val="11"/>
        </w:numPr>
        <w:rPr>
          <w:rFonts w:ascii="Arial; Helvetica" w:hAnsi="Arial; Helvetica" w:cs="Arial; Helvetica"/>
          <w:sz w:val="20"/>
        </w:rPr>
      </w:pPr>
      <w:r>
        <w:rPr>
          <w:rFonts w:cs="Arial; Helvetica" w:ascii="Arial; Helvetica" w:hAnsi="Arial; Helvetica"/>
          <w:sz w:val="20"/>
        </w:rPr>
        <w:t xml:space="preserve">If Seller does not notify Buyer of an OFO event, and Seller incurs penalties as a result of Seller delivering a quantity that differs from Buyer’s usage; such penalties shall be the financial responsibility of Seller. </w:t>
      </w:r>
    </w:p>
    <w:p>
      <w:pPr>
        <w:pStyle w:val="ListBullet2"/>
        <w:numPr>
          <w:ilvl w:val="0"/>
          <w:numId w:val="11"/>
        </w:numPr>
        <w:rPr>
          <w:rFonts w:ascii="Arial; Helvetica" w:hAnsi="Arial; Helvetica" w:cs="Arial; Helvetica"/>
          <w:sz w:val="20"/>
        </w:rPr>
      </w:pPr>
      <w:r>
        <w:rPr>
          <w:rFonts w:cs="Arial; Helvetica" w:ascii="Arial; Helvetica" w:hAnsi="Arial; Helvetica"/>
          <w:sz w:val="20"/>
        </w:rPr>
        <w:t>Any penalties incurred by Seller in delivering the OFO Quantity shall be the financial responsibility of Buyer.</w:t>
      </w:r>
    </w:p>
    <w:p>
      <w:pPr>
        <w:pStyle w:val="ListBullet2"/>
        <w:numPr>
          <w:ilvl w:val="0"/>
          <w:numId w:val="11"/>
        </w:numPr>
        <w:rPr>
          <w:rFonts w:ascii="Arial; Helvetica" w:hAnsi="Arial; Helvetica" w:cs="Arial; Helvetica"/>
          <w:sz w:val="20"/>
        </w:rPr>
      </w:pPr>
      <w:r>
        <w:rPr>
          <w:rFonts w:cs="Arial; Helvetica" w:ascii="Arial; Helvetica" w:hAnsi="Arial; Helvetica"/>
          <w:sz w:val="20"/>
        </w:rPr>
        <w:t>Any penalties incurred by Seller as a result of its failure to deliver the OFO Quantity shall be the responsibility of Seller.</w:t>
      </w:r>
    </w:p>
    <w:p>
      <w:pPr>
        <w:pStyle w:val="ListBullet2"/>
        <w:numPr>
          <w:ilvl w:val="0"/>
          <w:numId w:val="11"/>
        </w:numPr>
        <w:rPr>
          <w:rFonts w:ascii="Arial; Helvetica" w:hAnsi="Arial; Helvetica" w:cs="Arial; Helvetica"/>
          <w:sz w:val="20"/>
        </w:rPr>
      </w:pPr>
      <w:r>
        <w:rPr>
          <w:rFonts w:cs="Arial; Helvetica" w:ascii="Arial; Helvetica" w:hAnsi="Arial; Helvetica"/>
          <w:sz w:val="20"/>
        </w:rPr>
        <w:t xml:space="preserve">If Seller cannot contact Buyer’s representative to set the OFO Quantity, Seller shall unilaterally set the OFO Quantity, notify Buyer of such OFO Quantity by leaving a telephone message with Buyer and shall be financially responsible for any penalties assessed Seller as a result of Seller delivering a quantity that differs from Buyer’s usage.  </w:t>
      </w:r>
    </w:p>
    <w:p>
      <w:pPr>
        <w:pStyle w:val="Normal"/>
        <w:ind w:start="1155" w:end="0"/>
        <w:rPr>
          <w:rFonts w:ascii="Arial; Helvetica" w:hAnsi="Arial; Helvetica" w:cs="Arial; Helvetica"/>
          <w:sz w:val="20"/>
        </w:rPr>
      </w:pPr>
      <w:r>
        <w:rPr>
          <w:rFonts w:cs="Arial; Helvetica" w:ascii="Arial; Helvetica" w:hAnsi="Arial; Helvetica"/>
          <w:sz w:val="20"/>
        </w:rPr>
      </w:r>
    </w:p>
    <w:p>
      <w:pPr>
        <w:pStyle w:val="Normal"/>
        <w:rPr>
          <w:rFonts w:ascii="Arial; Helvetica" w:hAnsi="Arial; Helvetica" w:cs="Arial; Helvetica"/>
        </w:rPr>
      </w:pPr>
      <w:r>
        <w:rPr>
          <w:rFonts w:cs="Arial; Helvetica" w:ascii="Arial; Helvetica" w:hAnsi="Arial; Helvetica"/>
        </w:rPr>
      </w:r>
    </w:p>
    <w:p>
      <w:pPr>
        <w:pStyle w:val="Normal"/>
        <w:numPr>
          <w:ilvl w:val="1"/>
          <w:numId w:val="8"/>
        </w:numPr>
        <w:rPr>
          <w:rFonts w:ascii="Arial; Helvetica" w:hAnsi="Arial; Helvetica" w:cs="Arial; Helvetica"/>
        </w:rPr>
      </w:pPr>
      <w:r>
        <w:rPr/>
        <w:t>S</w:t>
      </w:r>
      <w:r>
        <w:rPr>
          <w:rFonts w:cs="Arial; Helvetica" w:ascii="Arial; Helvetica" w:hAnsi="Arial; Helvetica"/>
        </w:rPr>
        <w:t xml:space="preserve">eller will make all reasonable efforts to optimize the value of Buyer’s transportation capacity that goes unutilized by the Buyer.  For each day that Seller is successful at utilizing excess capacity for greater than the demand plus variable costs of the capacity, Seller and Buyer shall share in the profit 50% each.  Buyer shall remain responsible for all costs of capacity and Seller shall remit all receipts related to unused capacity up to Buyers costs.  </w:t>
      </w:r>
    </w:p>
    <w:p>
      <w:pPr>
        <w:pStyle w:val="Normal"/>
        <w:rPr>
          <w:rFonts w:ascii="Arial; Helvetica" w:hAnsi="Arial; Helvetica" w:cs="Arial; Helvetica"/>
        </w:rPr>
      </w:pPr>
      <w:r>
        <w:rPr>
          <w:rFonts w:cs="Arial; Helvetica" w:ascii="Arial; Helvetica" w:hAnsi="Arial; Helvetica"/>
        </w:rPr>
      </w:r>
    </w:p>
    <w:p>
      <w:pPr>
        <w:pStyle w:val="Normal"/>
        <w:numPr>
          <w:ilvl w:val="0"/>
          <w:numId w:val="4"/>
        </w:numPr>
        <w:rPr>
          <w:rFonts w:ascii="Arial; Helvetica" w:hAnsi="Arial; Helvetica" w:cs="Arial; Helvetica"/>
        </w:rPr>
      </w:pPr>
      <w:r>
        <w:rPr>
          <w:rFonts w:cs="Arial; Helvetica" w:ascii="Arial; Helvetica" w:hAnsi="Arial; Helvetica"/>
        </w:rPr>
        <w:t>RISK MANAGEMENT PRICING</w:t>
      </w:r>
    </w:p>
    <w:p>
      <w:pPr>
        <w:pStyle w:val="Normal"/>
        <w:rPr>
          <w:rFonts w:ascii="Arial; Helvetica" w:hAnsi="Arial; Helvetica" w:cs="Arial; Helvetica"/>
        </w:rPr>
      </w:pPr>
      <w:r>
        <w:rPr>
          <w:rFonts w:cs="Arial; Helvetica" w:ascii="Arial; Helvetica" w:hAnsi="Arial; Helvetica"/>
        </w:rPr>
      </w:r>
    </w:p>
    <w:p>
      <w:pPr>
        <w:pStyle w:val="Normal"/>
        <w:ind w:start="720" w:end="0"/>
        <w:rPr>
          <w:rFonts w:ascii="Arial; Helvetica" w:hAnsi="Arial; Helvetica" w:cs="Arial; Helvetica"/>
        </w:rPr>
      </w:pPr>
      <w:r>
        <w:rPr>
          <w:rFonts w:cs="Arial; Helvetica" w:ascii="Arial; Helvetica" w:hAnsi="Arial; Helvetica"/>
        </w:rPr>
        <w:t>The price for all or part of Buyer’s baseload quantity can be fixed by the Buyer with the Seller at any time prior to determination of the first of the month index.  Buyer is required to take the entire amount of any volume fixed on a daily basis.  Seller will not subject the Buyer to market premiums over the fixed price for volumes greater than 500 MMBtu/day.  Seller has the ability to fix the price of Indexed supply from a third party through financial products.  Any financial transactions shall be governed by the ISDA Master Swap Agreement that shall be put in place before any financial transactions can take place between Buyer and Seller.</w:t>
      </w:r>
    </w:p>
    <w:p>
      <w:pPr>
        <w:pStyle w:val="Normal"/>
        <w:ind w:start="720" w:end="0"/>
        <w:rPr>
          <w:rFonts w:ascii="Arial; Helvetica" w:hAnsi="Arial; Helvetica" w:cs="Arial; Helvetica"/>
        </w:rPr>
      </w:pPr>
      <w:r>
        <w:rPr>
          <w:rFonts w:cs="Arial; Helvetica" w:ascii="Arial; Helvetica" w:hAnsi="Arial; Helvetica"/>
        </w:rPr>
      </w:r>
    </w:p>
    <w:p>
      <w:pPr>
        <w:pStyle w:val="BodyTextIndent2"/>
        <w:rPr/>
      </w:pPr>
      <w:r>
        <w:rPr/>
        <w:tab/>
        <w:t xml:space="preserve">Seller also has the ability to offer other risk management products that are designed to assist Buyer in managing its price risk such as caps, cost-less collars, balance of the month forward pricing, as well as an array of other risk management tools that can add certainty and stability. Seller can also provide customized energy products to fit Buyer’s needs. </w:t>
      </w:r>
    </w:p>
    <w:p>
      <w:pPr>
        <w:pStyle w:val="Normal"/>
        <w:ind w:hanging="720" w:start="720" w:end="0"/>
        <w:rPr>
          <w:rFonts w:ascii="Arial; Helvetica" w:hAnsi="Arial; Helvetica" w:cs="Arial; Helvetica"/>
        </w:rPr>
      </w:pPr>
      <w:r>
        <w:rPr>
          <w:rFonts w:cs="Arial; Helvetica" w:ascii="Arial; Helvetica" w:hAnsi="Arial; Helvetica"/>
        </w:rPr>
      </w:r>
    </w:p>
    <w:p>
      <w:pPr>
        <w:pStyle w:val="Normal"/>
        <w:ind w:hanging="720" w:start="720" w:end="0"/>
        <w:rPr>
          <w:rFonts w:ascii="Arial; Helvetica" w:hAnsi="Arial; Helvetica" w:cs="Arial; Helvetica"/>
        </w:rPr>
      </w:pPr>
      <w:r>
        <w:rPr>
          <w:rFonts w:cs="Arial; Helvetica" w:ascii="Arial; Helvetica" w:hAnsi="Arial; Helvetica"/>
        </w:rPr>
        <w:tab/>
        <w:t>Seller can provide fundamental information to assist Buyer with price risk management decisions.  At Buyers request, Seller shall provide pricing for any combination of physical or financial products.  If Buyer and Seller are mutually agreeable to such pricing, a binding agreement will be formed and a paper confirmation, which will fall under the applicable master agreement that has been executed by buyer and Seller, will be faxed within five business days.  The specific credit terms under which Buyer is subject are detailed in the applicable Master Agreement.</w:t>
      </w:r>
    </w:p>
    <w:p>
      <w:pPr>
        <w:pStyle w:val="Normal"/>
        <w:ind w:hanging="720" w:start="720" w:end="0"/>
        <w:rPr>
          <w:rFonts w:ascii="Arial; Helvetica" w:hAnsi="Arial; Helvetica" w:cs="Arial; Helvetica"/>
        </w:rPr>
      </w:pPr>
      <w:r>
        <w:rPr>
          <w:rFonts w:cs="Arial; Helvetica" w:ascii="Arial; Helvetica" w:hAnsi="Arial; Helvetica"/>
        </w:rPr>
      </w:r>
    </w:p>
    <w:p>
      <w:pPr>
        <w:pStyle w:val="Normal"/>
        <w:ind w:hanging="720" w:start="720" w:end="0"/>
        <w:rPr>
          <w:rFonts w:ascii="Arial; Helvetica" w:hAnsi="Arial; Helvetica" w:cs="Arial; Helvetica"/>
        </w:rPr>
      </w:pPr>
      <w:r>
        <w:rPr>
          <w:rFonts w:cs="Arial; Helvetica" w:ascii="Arial; Helvetica" w:hAnsi="Arial; Helvetica"/>
        </w:rPr>
        <w:tab/>
        <w:t>It is against Seller’s policy to provide a list of authorized company traders and their trading limits.  However, a list of contacts, their areas of responsibility, and their phone numbers will be attached to this RFP.  This list is subject to change without notice and Seller is not responsible for maintaining or updating this list.  Trading hours for Seller are typically between the hours of 7:00 am and 4:00 PM CPT, Monday through Friday, excluding holidays and hours during which the New York Mercantile Exchange is closed.  These hours are subject to change and may vary due to market conditions.</w:t>
      </w:r>
    </w:p>
    <w:p>
      <w:pPr>
        <w:pStyle w:val="Normal"/>
        <w:ind w:hanging="720" w:start="720" w:end="0"/>
        <w:rPr>
          <w:rFonts w:ascii="Arial; Helvetica" w:hAnsi="Arial; Helvetica" w:cs="Arial; Helvetica"/>
        </w:rPr>
      </w:pPr>
      <w:r>
        <w:rPr>
          <w:rFonts w:cs="Arial; Helvetica" w:ascii="Arial; Helvetica" w:hAnsi="Arial; Helvetica"/>
        </w:rPr>
      </w:r>
    </w:p>
    <w:p>
      <w:pPr>
        <w:pStyle w:val="Normal"/>
        <w:ind w:hanging="720" w:start="720" w:end="0"/>
        <w:rPr>
          <w:rFonts w:ascii="Arial; Helvetica" w:hAnsi="Arial; Helvetica" w:cs="Arial; Helvetica"/>
        </w:rPr>
      </w:pPr>
      <w:r>
        <w:rPr>
          <w:rFonts w:cs="Arial; Helvetica" w:ascii="Arial; Helvetica" w:hAnsi="Arial; Helvetica"/>
        </w:rPr>
        <w:tab/>
        <w:t>A sample confirmation sheet has been provided as an attachment to the Enfolio Master Purchase/Sale Agreement.</w:t>
      </w:r>
    </w:p>
    <w:p>
      <w:pPr>
        <w:pStyle w:val="Normal"/>
        <w:ind w:hanging="720" w:start="720" w:end="0"/>
        <w:rPr>
          <w:rFonts w:ascii="Arial; Helvetica" w:hAnsi="Arial; Helvetica" w:cs="Arial; Helvetica"/>
        </w:rPr>
      </w:pPr>
      <w:r>
        <w:rPr>
          <w:rFonts w:cs="Arial; Helvetica" w:ascii="Arial; Helvetica" w:hAnsi="Arial; Helvetica"/>
        </w:rPr>
      </w:r>
    </w:p>
    <w:p>
      <w:pPr>
        <w:pStyle w:val="Normal"/>
        <w:numPr>
          <w:ilvl w:val="1"/>
          <w:numId w:val="12"/>
        </w:numPr>
        <w:rPr>
          <w:rFonts w:ascii="Arial; Helvetica" w:hAnsi="Arial; Helvetica" w:cs="Arial; Helvetica"/>
        </w:rPr>
      </w:pPr>
      <w:r>
        <w:rPr>
          <w:rFonts w:cs="Arial; Helvetica" w:ascii="Arial; Helvetica" w:hAnsi="Arial; Helvetica"/>
        </w:rPr>
        <w:t>Seller shall provide informal pricing information to Buyer on a regular basis.  Buyer and Seller can agree to a mechanism to facilitate this process.  Pricing for various risk management products can be provided at the request of the customer.</w:t>
      </w:r>
    </w:p>
    <w:p>
      <w:pPr>
        <w:pStyle w:val="Normal"/>
        <w:ind w:start="720" w:end="0"/>
        <w:rPr>
          <w:rFonts w:ascii="Arial; Helvetica" w:hAnsi="Arial; Helvetica" w:cs="Arial; Helvetica"/>
        </w:rPr>
      </w:pPr>
      <w:r>
        <w:rPr>
          <w:rFonts w:cs="Arial; Helvetica" w:ascii="Arial; Helvetica" w:hAnsi="Arial; Helvetica"/>
        </w:rPr>
      </w:r>
    </w:p>
    <w:p>
      <w:pPr>
        <w:pStyle w:val="Normal"/>
        <w:ind w:start="1110" w:end="0"/>
        <w:rPr>
          <w:rFonts w:ascii="Arial; Helvetica" w:hAnsi="Arial; Helvetica" w:cs="Arial; Helvetica"/>
        </w:rPr>
      </w:pPr>
      <w:r>
        <w:rPr>
          <w:rFonts w:cs="Arial; Helvetica" w:ascii="Arial; Helvetica" w:hAnsi="Arial; Helvetica"/>
        </w:rPr>
        <w:t>Seller has provided Buyer various price indications in the past.  This should suffice as the sample requested in this RFP.</w:t>
      </w:r>
    </w:p>
    <w:p>
      <w:pPr>
        <w:pStyle w:val="Normal"/>
        <w:ind w:start="1110" w:end="0"/>
        <w:rPr>
          <w:rFonts w:ascii="Arial; Helvetica" w:hAnsi="Arial; Helvetica" w:cs="Arial; Helvetica"/>
        </w:rPr>
      </w:pPr>
      <w:r>
        <w:rPr>
          <w:rFonts w:cs="Arial; Helvetica" w:ascii="Arial; Helvetica" w:hAnsi="Arial; Helvetica"/>
        </w:rPr>
      </w:r>
    </w:p>
    <w:p>
      <w:pPr>
        <w:pStyle w:val="Normal"/>
        <w:numPr>
          <w:ilvl w:val="1"/>
          <w:numId w:val="12"/>
        </w:numPr>
        <w:rPr>
          <w:rFonts w:ascii="Arial; Helvetica" w:hAnsi="Arial; Helvetica" w:cs="Arial; Helvetica"/>
        </w:rPr>
      </w:pPr>
      <w:r>
        <w:rPr>
          <w:rFonts w:cs="Arial; Helvetica" w:ascii="Arial; Helvetica" w:hAnsi="Arial; Helvetica"/>
        </w:rPr>
        <w:t>Seller proposes that Buyer incorporate a mix of fixed price supply, first-of-the-month indexed supply, and supply priced at a gas daily price.  Should the Buyer have the need to sell quantities that have previously been fixed, Seller agrees to offer to purchase the excess based on market conditions at that time.  The pricing mechanism may be based on a fixed price determined at that time or on a published index agreed to by both parties.  Buyer has the right to sell this excess to a party other than the Seller.</w:t>
      </w:r>
    </w:p>
    <w:p>
      <w:pPr>
        <w:pStyle w:val="Normal"/>
        <w:rPr>
          <w:rFonts w:ascii="Arial; Helvetica" w:hAnsi="Arial; Helvetica" w:cs="Arial; Helvetica"/>
        </w:rPr>
      </w:pPr>
      <w:r>
        <w:rPr>
          <w:rFonts w:cs="Arial; Helvetica" w:ascii="Arial; Helvetica" w:hAnsi="Arial; Helvetica"/>
        </w:rPr>
      </w:r>
    </w:p>
    <w:p>
      <w:pPr>
        <w:pStyle w:val="Normal"/>
        <w:numPr>
          <w:ilvl w:val="1"/>
          <w:numId w:val="12"/>
        </w:numPr>
        <w:rPr/>
      </w:pPr>
      <w:r>
        <w:rPr>
          <w:rFonts w:cs="Arial; Helvetica" w:ascii="Arial; Helvetica" w:hAnsi="Arial; Helvetica"/>
        </w:rPr>
        <w:t xml:space="preserve">In order to provide scheduling and balancing services to Buyer, Seller shall provide at least 50% of Buyers baseload on a monthly basis.  Seller will schedule baseload quantities supplied by a third party if notified of these quantities and their need to be scheduled at least five business days prior to the end of the month in which these volumes must be scheduled.  Sellers fee for this service is $.05/MMBtu. </w:t>
      </w:r>
    </w:p>
    <w:p>
      <w:pPr>
        <w:pStyle w:val="Normal"/>
        <w:ind w:start="1110" w:end="0"/>
        <w:rPr>
          <w:rFonts w:ascii="Arial; Helvetica" w:hAnsi="Arial; Helvetica" w:cs="Arial; Helvetica"/>
        </w:rPr>
      </w:pPr>
      <w:r>
        <w:rPr>
          <w:rFonts w:cs="Arial; Helvetica" w:ascii="Arial; Helvetica" w:hAnsi="Arial; Helvetica"/>
        </w:rPr>
      </w:r>
    </w:p>
    <w:p>
      <w:pPr>
        <w:pStyle w:val="Normal"/>
        <w:ind w:start="1110" w:end="0"/>
        <w:rPr>
          <w:rFonts w:ascii="Arial; Helvetica" w:hAnsi="Arial; Helvetica" w:cs="Arial; Helvetica"/>
        </w:rPr>
      </w:pPr>
      <w:r>
        <w:rPr>
          <w:rFonts w:cs="Arial; Helvetica" w:ascii="Arial; Helvetica" w:hAnsi="Arial; Helvetica"/>
        </w:rPr>
        <w:t>For quantities supplied to Buyer by a third party that Buyer wishes to sell into the market, Seller will make reasonable efforts to assist Buyer in selling these volumes.  Seller does not guarantee a price to be passed on to Buyer for such quantities.  Seller’s fee for this service is $.05/MMBtu</w:t>
      </w:r>
    </w:p>
    <w:p>
      <w:pPr>
        <w:pStyle w:val="Normal"/>
        <w:rPr>
          <w:rFonts w:ascii="Arial; Helvetica" w:hAnsi="Arial; Helvetica" w:cs="Arial; Helvetica"/>
        </w:rPr>
      </w:pPr>
      <w:r>
        <w:rPr>
          <w:rFonts w:cs="Arial; Helvetica" w:ascii="Arial; Helvetica" w:hAnsi="Arial; Helvetica"/>
        </w:rPr>
      </w:r>
    </w:p>
    <w:p>
      <w:pPr>
        <w:pStyle w:val="Normal"/>
        <w:numPr>
          <w:ilvl w:val="1"/>
          <w:numId w:val="12"/>
        </w:numPr>
        <w:rPr>
          <w:rFonts w:ascii="Arial; Helvetica" w:hAnsi="Arial; Helvetica" w:cs="Arial; Helvetica"/>
        </w:rPr>
      </w:pPr>
      <w:r>
        <w:rPr>
          <w:rFonts w:cs="Arial; Helvetica" w:ascii="Arial; Helvetica" w:hAnsi="Arial; Helvetica"/>
        </w:rPr>
        <w:t>Seller has the ability to enter into financial transactions with those that have fully executed the ISDA Master Swap Agreement and provided all attached documents required and described in the schedule to the Agreement.  These attachments include but are not limited to certified copies of the entity’s charter, enabling statutes, constitution or legislation creating or authorizing such Entity to enter into financial transactions, bylaws, charter or constituent documents, investment policies, guidelines, or restrictions, resolutions to authorize execution of all transactions under the ISDA Master Swap Agreement and execution of Agreement by specified persons (together with other exhibits), and a legal opinion from outside counsel attesting to the fact that the Entity is authorized to enter into such transactions.</w:t>
      </w:r>
    </w:p>
    <w:p>
      <w:pPr>
        <w:pStyle w:val="Normal"/>
        <w:ind w:start="720" w:end="0"/>
        <w:rPr>
          <w:rFonts w:ascii="Arial; Helvetica" w:hAnsi="Arial; Helvetica" w:eastAsia="Arial; Helvetica" w:cs="Arial; Helvetica"/>
        </w:rPr>
      </w:pPr>
      <w:r>
        <w:rPr>
          <w:rFonts w:eastAsia="Arial; Helvetica" w:cs="Arial; Helvetica" w:ascii="Arial; Helvetica" w:hAnsi="Arial; Helvetica"/>
        </w:rPr>
        <w:t xml:space="preserve"> </w:t>
      </w:r>
    </w:p>
    <w:p>
      <w:pPr>
        <w:pStyle w:val="BodyTextIndent3"/>
        <w:numPr>
          <w:ilvl w:val="0"/>
          <w:numId w:val="9"/>
        </w:numPr>
        <w:rPr/>
      </w:pPr>
      <w:r>
        <w:rPr/>
        <w:t>Seller has the ability to serve customers outside of Buyer’s boundaries by adding them to Seller’s PG&amp;E Pool.  Seller will work with Buyer on a case by case basis at the time the Buyer obtains the additional load with regard to whether Seller can provide gas supply and pricing.  Baseload volume for any such customers must be at least 500 MMBtu/Day.</w:t>
      </w:r>
    </w:p>
    <w:p>
      <w:pPr>
        <w:pStyle w:val="Normal"/>
        <w:ind w:hanging="720" w:start="1440" w:end="0"/>
        <w:rPr>
          <w:rFonts w:ascii="Arial; Helvetica" w:hAnsi="Arial; Helvetica" w:cs="Arial; Helvetica"/>
        </w:rPr>
      </w:pPr>
      <w:r>
        <w:rPr>
          <w:rFonts w:cs="Arial; Helvetica" w:ascii="Arial; Helvetica" w:hAnsi="Arial; Helvetica"/>
        </w:rPr>
      </w:r>
    </w:p>
    <w:p>
      <w:pPr>
        <w:pStyle w:val="Normal"/>
        <w:numPr>
          <w:ilvl w:val="0"/>
          <w:numId w:val="9"/>
        </w:numPr>
        <w:rPr>
          <w:rFonts w:ascii="Arial; Helvetica" w:hAnsi="Arial; Helvetica" w:cs="Arial; Helvetica"/>
        </w:rPr>
      </w:pPr>
      <w:r>
        <w:rPr>
          <w:rFonts w:cs="Arial; Helvetica" w:ascii="Arial; Helvetica" w:hAnsi="Arial; Helvetica"/>
        </w:rPr>
        <w:t>Seller is prepared to work with the Buyer to manage any new acquisitions that take place during the course of any agreement.  However, Seller maintains the right to reprice the products and services provided under such agreement if such acquisition materially affects the scope of the original offer</w:t>
      </w:r>
    </w:p>
    <w:p>
      <w:pPr>
        <w:pStyle w:val="Normal"/>
        <w:rPr>
          <w:rFonts w:ascii="Arial; Helvetica" w:hAnsi="Arial; Helvetica" w:cs="Arial; Helvetica"/>
        </w:rPr>
      </w:pPr>
      <w:r>
        <w:rPr>
          <w:rFonts w:cs="Arial; Helvetica" w:ascii="Arial; Helvetica" w:hAnsi="Arial; Helvetica"/>
        </w:rPr>
      </w:r>
    </w:p>
    <w:p>
      <w:pPr>
        <w:pStyle w:val="Normal"/>
        <w:numPr>
          <w:ilvl w:val="1"/>
          <w:numId w:val="9"/>
        </w:numPr>
        <w:rPr/>
      </w:pPr>
      <w:r>
        <w:rPr/>
        <w:t xml:space="preserve"> </w:t>
      </w:r>
      <w:r>
        <w:rPr/>
        <w:t>Same as 4.4 above.  In addition, Seller can provide accounting services to handle all payables for transportation capacity and therefore provide a consolidated statement for gas supply and transportation.</w:t>
      </w:r>
    </w:p>
    <w:p>
      <w:pPr>
        <w:pStyle w:val="Normal"/>
        <w:rPr>
          <w:rFonts w:ascii="Arial; Helvetica" w:hAnsi="Arial; Helvetica" w:cs="Arial; Helvetica"/>
        </w:rPr>
      </w:pPr>
      <w:r>
        <w:rPr>
          <w:rFonts w:cs="Arial; Helvetica" w:ascii="Arial; Helvetica" w:hAnsi="Arial; Helvetica"/>
        </w:rPr>
      </w:r>
    </w:p>
    <w:p>
      <w:pPr>
        <w:pStyle w:val="Normal"/>
        <w:numPr>
          <w:ilvl w:val="0"/>
          <w:numId w:val="4"/>
        </w:numPr>
        <w:rPr>
          <w:rFonts w:ascii="Arial; Helvetica" w:hAnsi="Arial; Helvetica" w:cs="Arial; Helvetica"/>
        </w:rPr>
      </w:pPr>
      <w:r>
        <w:rPr>
          <w:rFonts w:cs="Arial; Helvetica" w:ascii="Arial; Helvetica" w:hAnsi="Arial; Helvetica"/>
        </w:rPr>
        <w:t>Other</w:t>
      </w:r>
    </w:p>
    <w:p>
      <w:pPr>
        <w:pStyle w:val="Normal"/>
        <w:ind w:start="45" w:end="0"/>
        <w:rPr>
          <w:rFonts w:ascii="Arial; Helvetica" w:hAnsi="Arial; Helvetica" w:cs="Arial; Helvetica"/>
        </w:rPr>
      </w:pPr>
      <w:r>
        <w:rPr>
          <w:rFonts w:cs="Arial; Helvetica" w:ascii="Arial; Helvetica" w:hAnsi="Arial; Helvetica"/>
        </w:rPr>
      </w:r>
    </w:p>
    <w:p>
      <w:pPr>
        <w:pStyle w:val="Normal"/>
        <w:numPr>
          <w:ilvl w:val="0"/>
          <w:numId w:val="6"/>
        </w:numPr>
        <w:rPr/>
      </w:pPr>
      <w:r>
        <w:rPr>
          <w:rFonts w:cs="Arial; Helvetica" w:ascii="Arial; Helvetica" w:hAnsi="Arial; Helvetica"/>
        </w:rPr>
        <w:t>Payment Terms shall be detailed in the related executed Master Agreement governing each transaction</w:t>
      </w:r>
    </w:p>
    <w:p>
      <w:pPr>
        <w:pStyle w:val="Normal"/>
        <w:numPr>
          <w:ilvl w:val="0"/>
          <w:numId w:val="6"/>
        </w:numPr>
        <w:rPr>
          <w:rFonts w:ascii="Arial; Helvetica" w:hAnsi="Arial; Helvetica" w:cs="Arial; Helvetica"/>
        </w:rPr>
      </w:pPr>
      <w:r>
        <w:rPr/>
        <w:t>References – credit references are attached.</w:t>
      </w:r>
    </w:p>
    <w:p>
      <w:pPr>
        <w:pStyle w:val="Normal"/>
        <w:numPr>
          <w:ilvl w:val="0"/>
          <w:numId w:val="6"/>
        </w:numPr>
        <w:rPr>
          <w:rFonts w:ascii="Arial; Helvetica" w:hAnsi="Arial; Helvetica" w:cs="Arial; Helvetica"/>
        </w:rPr>
      </w:pPr>
      <w:r>
        <w:rPr/>
        <w:t>Seller’s most recent Annual Report is attached.  Additional financial statements can be provided upon request.</w:t>
      </w:r>
    </w:p>
    <w:p>
      <w:pPr>
        <w:pStyle w:val="Normal"/>
        <w:numPr>
          <w:ilvl w:val="0"/>
          <w:numId w:val="6"/>
        </w:numPr>
        <w:rPr>
          <w:rFonts w:ascii="Arial; Helvetica" w:hAnsi="Arial; Helvetica" w:cs="Arial; Helvetica"/>
        </w:rPr>
      </w:pPr>
      <w:r>
        <w:rPr>
          <w:rFonts w:cs="Arial; Helvetica" w:ascii="Arial; Helvetica" w:hAnsi="Arial; Helvetica"/>
        </w:rPr>
        <w:t>Seller’s related credit provisions will be described in related executed Master Agreements.</w:t>
      </w:r>
    </w:p>
    <w:p>
      <w:pPr>
        <w:pStyle w:val="Normal"/>
        <w:rPr>
          <w:rFonts w:ascii="Arial; Helvetica" w:hAnsi="Arial; Helvetica" w:cs="Arial; Helvetica"/>
        </w:rPr>
      </w:pPr>
      <w:r>
        <w:rPr>
          <w:rFonts w:cs="Arial; Helvetica" w:ascii="Arial; Helvetica" w:hAnsi="Arial; Helvetica"/>
        </w:rPr>
      </w:r>
    </w:p>
    <w:p>
      <w:pPr>
        <w:pStyle w:val="Normal"/>
        <w:ind w:start="720" w:end="0"/>
        <w:rPr>
          <w:rFonts w:ascii="Arial; Helvetica" w:hAnsi="Arial; Helvetica" w:cs="Arial; Helvetica"/>
        </w:rPr>
      </w:pPr>
      <w:r>
        <w:rPr>
          <w:rFonts w:cs="Arial; Helvetica" w:ascii="Arial; Helvetica" w:hAnsi="Arial; Helvetica"/>
        </w:rPr>
      </w:r>
    </w:p>
    <w:p>
      <w:pPr>
        <w:pStyle w:val="Normal"/>
        <w:ind w:start="720" w:end="0"/>
        <w:rPr>
          <w:rFonts w:ascii="Arial; Helvetica" w:hAnsi="Arial; Helvetica" w:cs="Arial; Helvetica"/>
        </w:rPr>
      </w:pPr>
      <w:r>
        <w:rPr>
          <w:rFonts w:cs="Arial; Helvetica" w:ascii="Arial; Helvetica" w:hAnsi="Arial; Helvetica"/>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 Helvetica" w:hAnsi="Arial; Helvetica" w:cs="Arial; Helvetica"/>
        </w:rPr>
      </w:pPr>
      <w:r>
        <w:rPr>
          <w:rFonts w:cs="Arial; Helvetica" w:ascii="Arial; Helvetica" w:hAnsi="Arial; Helvetica"/>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altName w:val=" Helvetica"/>
    <w:charset w:val="00" w:characterSet="windows-1252"/>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rPr/>
    </w:lvl>
  </w:abstractNum>
  <w:abstractNum w:abstractNumId="3">
    <w:lvl w:ilvl="0">
      <w:start w:val="1"/>
      <w:numFmt w:val="upperLetter"/>
      <w:lvlText w:val="%1."/>
      <w:lvlJc w:val="start"/>
      <w:pPr>
        <w:tabs>
          <w:tab w:val="num" w:pos="1080"/>
        </w:tabs>
        <w:ind w:start="1080" w:hanging="360"/>
      </w:pPr>
      <w:rPr/>
    </w:lvl>
  </w:abstractNum>
  <w:abstractNum w:abstractNumId="4">
    <w:lvl w:ilvl="0">
      <w:start w:val="1"/>
      <w:numFmt w:val="upperRoman"/>
      <w:lvlText w:val="%1."/>
      <w:lvlJc w:val="start"/>
      <w:pPr>
        <w:tabs>
          <w:tab w:val="num" w:pos="765"/>
        </w:tabs>
        <w:ind w:start="765" w:hanging="720"/>
      </w:pPr>
      <w:rPr/>
    </w:lvl>
  </w:abstractNum>
  <w:abstractNum w:abstractNumId="5">
    <w:lvl w:ilvl="0">
      <w:start w:val="1"/>
      <w:numFmt w:val="upperLetter"/>
      <w:lvlText w:val="%1."/>
      <w:lvlJc w:val="start"/>
      <w:pPr>
        <w:tabs>
          <w:tab w:val="num" w:pos="1080"/>
        </w:tabs>
        <w:ind w:start="1080" w:hanging="360"/>
      </w:pPr>
      <w:rPr/>
    </w:lvl>
  </w:abstractNum>
  <w:abstractNum w:abstractNumId="6">
    <w:lvl w:ilvl="0">
      <w:start w:val="1"/>
      <w:numFmt w:val="upperLetter"/>
      <w:lvlText w:val="%1."/>
      <w:lvlJc w:val="start"/>
      <w:pPr>
        <w:tabs>
          <w:tab w:val="num" w:pos="1080"/>
        </w:tabs>
        <w:ind w:start="1080" w:hanging="360"/>
      </w:pPr>
      <w:rPr>
        <w:rFonts w:ascii="Arial; Helvetica" w:hAnsi="Arial; Helvetica" w:cs="Arial; Helvetica"/>
      </w:rPr>
    </w:lvl>
  </w:abstractNum>
  <w:abstractNum w:abstractNumId="7">
    <w:lvl w:ilvl="0">
      <w:start w:val="5"/>
      <w:numFmt w:val="upperLetter"/>
      <w:lvlText w:val="%1."/>
      <w:lvlJc w:val="start"/>
      <w:pPr>
        <w:tabs>
          <w:tab w:val="num" w:pos="1080"/>
        </w:tabs>
        <w:ind w:start="1080" w:hanging="360"/>
      </w:pPr>
      <w:rPr/>
    </w:lvl>
  </w:abstractNum>
  <w:abstractNum w:abstractNumId="8">
    <w:lvl w:ilvl="0">
      <w:start w:val="4"/>
      <w:numFmt w:val="decimal"/>
      <w:lvlText w:val="%1"/>
      <w:lvlJc w:val="start"/>
      <w:pPr>
        <w:tabs>
          <w:tab w:val="num" w:pos="390"/>
        </w:tabs>
        <w:ind w:start="390" w:hanging="390"/>
      </w:pPr>
      <w:rPr/>
    </w:lvl>
    <w:lvl w:ilvl="1">
      <w:start w:val="1"/>
      <w:numFmt w:val="decimal"/>
      <w:lvlText w:val="%1.%2"/>
      <w:lvlJc w:val="start"/>
      <w:pPr>
        <w:tabs>
          <w:tab w:val="num" w:pos="1155"/>
        </w:tabs>
        <w:ind w:start="1155" w:hanging="390"/>
      </w:pPr>
      <w:rPr/>
    </w:lvl>
    <w:lvl w:ilvl="2">
      <w:start w:val="1"/>
      <w:numFmt w:val="decimal"/>
      <w:lvlText w:val="%1.%2.%3"/>
      <w:lvlJc w:val="start"/>
      <w:pPr>
        <w:tabs>
          <w:tab w:val="num" w:pos="2250"/>
        </w:tabs>
        <w:ind w:start="2250" w:hanging="720"/>
      </w:pPr>
      <w:rPr/>
    </w:lvl>
    <w:lvl w:ilvl="3">
      <w:start w:val="1"/>
      <w:numFmt w:val="decimal"/>
      <w:lvlText w:val="%1.%2.%3.%4"/>
      <w:lvlJc w:val="start"/>
      <w:pPr>
        <w:tabs>
          <w:tab w:val="num" w:pos="3015"/>
        </w:tabs>
        <w:ind w:start="3015" w:hanging="720"/>
      </w:pPr>
      <w:rPr/>
    </w:lvl>
    <w:lvl w:ilvl="4">
      <w:start w:val="1"/>
      <w:numFmt w:val="decimal"/>
      <w:lvlText w:val="%1.%2.%3.%4.%5"/>
      <w:lvlJc w:val="start"/>
      <w:pPr>
        <w:tabs>
          <w:tab w:val="num" w:pos="4140"/>
        </w:tabs>
        <w:ind w:start="4140" w:hanging="1080"/>
      </w:pPr>
      <w:rPr/>
    </w:lvl>
    <w:lvl w:ilvl="5">
      <w:start w:val="1"/>
      <w:numFmt w:val="decimal"/>
      <w:lvlText w:val="%1.%2.%3.%4.%5.%6"/>
      <w:lvlJc w:val="start"/>
      <w:pPr>
        <w:tabs>
          <w:tab w:val="num" w:pos="4905"/>
        </w:tabs>
        <w:ind w:start="4905" w:hanging="1080"/>
      </w:pPr>
      <w:rPr/>
    </w:lvl>
    <w:lvl w:ilvl="6">
      <w:start w:val="1"/>
      <w:numFmt w:val="decimal"/>
      <w:lvlText w:val="%1.%2.%3.%4.%5.%6.%7"/>
      <w:lvlJc w:val="start"/>
      <w:pPr>
        <w:tabs>
          <w:tab w:val="num" w:pos="6030"/>
        </w:tabs>
        <w:ind w:start="6030" w:hanging="1440"/>
      </w:pPr>
      <w:rPr/>
    </w:lvl>
    <w:lvl w:ilvl="7">
      <w:start w:val="1"/>
      <w:numFmt w:val="decimal"/>
      <w:lvlText w:val="%1.%2.%3.%4.%5.%6.%7.%8"/>
      <w:lvlJc w:val="start"/>
      <w:pPr>
        <w:tabs>
          <w:tab w:val="num" w:pos="6795"/>
        </w:tabs>
        <w:ind w:start="6795" w:hanging="1440"/>
      </w:pPr>
      <w:rPr/>
    </w:lvl>
    <w:lvl w:ilvl="8">
      <w:start w:val="1"/>
      <w:numFmt w:val="decimal"/>
      <w:lvlText w:val="%1.%2.%3.%4.%5.%6.%7.%8.%9"/>
      <w:lvlJc w:val="start"/>
      <w:pPr>
        <w:tabs>
          <w:tab w:val="num" w:pos="7920"/>
        </w:tabs>
        <w:ind w:start="7920" w:hanging="1800"/>
      </w:pPr>
      <w:rPr/>
    </w:lvl>
  </w:abstractNum>
  <w:abstractNum w:abstractNumId="9">
    <w:lvl w:ilvl="0">
      <w:start w:val="6"/>
      <w:numFmt w:val="decimal"/>
      <w:lvlText w:val="%1."/>
      <w:lvlJc w:val="start"/>
      <w:pPr>
        <w:tabs>
          <w:tab w:val="num" w:pos="1125"/>
        </w:tabs>
        <w:ind w:start="1125" w:hanging="405"/>
      </w:pPr>
      <w:rPr/>
    </w:lvl>
    <w:lvl w:ilvl="1">
      <w:start w:val="1"/>
      <w:isLgl/>
      <w:numFmt w:val="decimal"/>
      <w:lvlText w:val="%1.%2"/>
      <w:lvlJc w:val="start"/>
      <w:pPr>
        <w:tabs>
          <w:tab w:val="num" w:pos="1080"/>
        </w:tabs>
        <w:ind w:start="1080" w:hanging="360"/>
      </w:pPr>
      <w:rPr/>
    </w:lvl>
    <w:lvl w:ilvl="2">
      <w:start w:val="1"/>
      <w:isLgl/>
      <w:numFmt w:val="decimal"/>
      <w:lvlText w:val="%1.%2.%3"/>
      <w:lvlJc w:val="start"/>
      <w:pPr>
        <w:tabs>
          <w:tab w:val="num" w:pos="1440"/>
        </w:tabs>
        <w:ind w:start="1440" w:hanging="720"/>
      </w:pPr>
      <w:rPr/>
    </w:lvl>
    <w:lvl w:ilvl="3">
      <w:start w:val="1"/>
      <w:isLgl/>
      <w:numFmt w:val="decimal"/>
      <w:lvlText w:val="%1.%2.%3.%4"/>
      <w:lvlJc w:val="start"/>
      <w:pPr>
        <w:tabs>
          <w:tab w:val="num" w:pos="1440"/>
        </w:tabs>
        <w:ind w:start="1440" w:hanging="720"/>
      </w:pPr>
      <w:rPr/>
    </w:lvl>
    <w:lvl w:ilvl="4">
      <w:start w:val="1"/>
      <w:isLgl/>
      <w:numFmt w:val="decimal"/>
      <w:lvlText w:val="%1.%2.%3.%4.%5"/>
      <w:lvlJc w:val="start"/>
      <w:pPr>
        <w:tabs>
          <w:tab w:val="num" w:pos="1440"/>
        </w:tabs>
        <w:ind w:start="1440" w:hanging="720"/>
      </w:pPr>
      <w:rPr/>
    </w:lvl>
    <w:lvl w:ilvl="5">
      <w:start w:val="1"/>
      <w:isLgl/>
      <w:numFmt w:val="decimal"/>
      <w:lvlText w:val="%1.%2.%3.%4.%5.%6"/>
      <w:lvlJc w:val="start"/>
      <w:pPr>
        <w:tabs>
          <w:tab w:val="num" w:pos="1800"/>
        </w:tabs>
        <w:ind w:start="1800" w:hanging="1080"/>
      </w:pPr>
      <w:rPr/>
    </w:lvl>
    <w:lvl w:ilvl="6">
      <w:start w:val="1"/>
      <w:isLgl/>
      <w:numFmt w:val="decimal"/>
      <w:lvlText w:val="%1.%2.%3.%4.%5.%6.%7"/>
      <w:lvlJc w:val="start"/>
      <w:pPr>
        <w:tabs>
          <w:tab w:val="num" w:pos="1800"/>
        </w:tabs>
        <w:ind w:start="1800" w:hanging="1080"/>
      </w:pPr>
      <w:rPr/>
    </w:lvl>
    <w:lvl w:ilvl="7">
      <w:start w:val="1"/>
      <w:isLgl/>
      <w:numFmt w:val="decimal"/>
      <w:lvlText w:val="%1.%2.%3.%4.%5.%6.%7.%8"/>
      <w:lvlJc w:val="start"/>
      <w:pPr>
        <w:tabs>
          <w:tab w:val="num" w:pos="2160"/>
        </w:tabs>
        <w:ind w:start="2160" w:hanging="1440"/>
      </w:pPr>
      <w:rPr/>
    </w:lvl>
    <w:lvl w:ilvl="8">
      <w:start w:val="1"/>
      <w:isLgl/>
      <w:numFmt w:val="decimal"/>
      <w:lvlText w:val="%1.%2.%3.%4.%5.%6.%7.%8.%9"/>
      <w:lvlJc w:val="start"/>
      <w:pPr>
        <w:tabs>
          <w:tab w:val="num" w:pos="2160"/>
        </w:tabs>
        <w:ind w:start="2160" w:hanging="1440"/>
      </w:pPr>
      <w:rPr/>
    </w:lvl>
  </w:abstractNum>
  <w:abstractNum w:abstractNumId="10">
    <w:lvl w:ilvl="0">
      <w:start w:val="1"/>
      <w:numFmt w:val="upperLetter"/>
      <w:lvlText w:val="%1."/>
      <w:lvlJc w:val="start"/>
      <w:pPr>
        <w:tabs>
          <w:tab w:val="num" w:pos="1080"/>
        </w:tabs>
        <w:ind w:start="1080" w:hanging="360"/>
      </w:pPr>
      <w:rPr/>
    </w:lvl>
  </w:abstractNum>
  <w:abstractNum w:abstractNumId="11">
    <w:lvl w:ilvl="0">
      <w:start w:val="1"/>
      <w:numFmt w:val="decimal"/>
      <w:lvlText w:val="%1."/>
      <w:lvlJc w:val="start"/>
      <w:pPr>
        <w:tabs>
          <w:tab w:val="num" w:pos="1080"/>
        </w:tabs>
        <w:ind w:start="1080" w:hanging="360"/>
      </w:pPr>
      <w:rPr/>
    </w:lvl>
  </w:abstractNum>
  <w:abstractNum w:abstractNumId="12">
    <w:lvl w:ilvl="0">
      <w:start w:val="5"/>
      <w:numFmt w:val="decimal"/>
      <w:lvlText w:val="%1"/>
      <w:lvlJc w:val="start"/>
      <w:pPr>
        <w:tabs>
          <w:tab w:val="num" w:pos="390"/>
        </w:tabs>
        <w:ind w:start="390" w:hanging="390"/>
      </w:pPr>
      <w:rPr/>
    </w:lvl>
    <w:lvl w:ilvl="1">
      <w:start w:val="1"/>
      <w:numFmt w:val="decimal"/>
      <w:lvlText w:val="%1.%2"/>
      <w:lvlJc w:val="start"/>
      <w:pPr>
        <w:tabs>
          <w:tab w:val="num" w:pos="1110"/>
        </w:tabs>
        <w:ind w:start="1110" w:hanging="39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jc w:val="center"/>
      <w:outlineLvl w:val="1"/>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Arial; Helvetica" w:hAnsi="Arial; Helvetica" w:cs="Arial; Helvetica"/>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Times New Roman" w:hAnsi="Times New Roman" w:cs="Times New Roman"/>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1800" w:end="0"/>
    </w:pPr>
    <w:rPr>
      <w:rFonts w:ascii="Arial; Helvetica" w:hAnsi="Arial; Helvetica" w:cs="Arial; Helvetica"/>
    </w:rPr>
  </w:style>
  <w:style w:type="paragraph" w:styleId="BodyTextIndent2">
    <w:name w:val="Body Text Indent 2"/>
    <w:basedOn w:val="Normal"/>
    <w:qFormat/>
    <w:pPr>
      <w:ind w:hanging="720" w:start="720" w:end="0"/>
    </w:pPr>
    <w:rPr>
      <w:rFonts w:ascii="Arial; Helvetica" w:hAnsi="Arial; Helvetica" w:cs="Arial; Helvetica"/>
    </w:rPr>
  </w:style>
  <w:style w:type="paragraph" w:styleId="BodyTextIndent3">
    <w:name w:val="Body Text Indent 3"/>
    <w:basedOn w:val="Normal"/>
    <w:qFormat/>
    <w:pPr>
      <w:ind w:hanging="720" w:start="1440" w:end="0"/>
    </w:pPr>
    <w:rPr>
      <w:rFonts w:ascii="Arial; Helvetica" w:hAnsi="Arial; Helvetica" w:cs="Arial; Helvetica"/>
    </w:rPr>
  </w:style>
  <w:style w:type="paragraph" w:styleId="ListBullet2">
    <w:name w:val="List Bullet 2"/>
    <w:basedOn w:val="Normal"/>
    <w:pPr>
      <w:ind w:hanging="360" w:start="72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yperlink" Target="http://www.enron.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2001-03-13T22:10:00Z</dcterms:created>
  <dc:creator>kward</dc:creator>
  <dc:description/>
  <dc:language>en-CA</dc:language>
  <cp:lastModifiedBy>kward</cp:lastModifiedBy>
  <cp:lastPrinted>2001-03-14T17:16:00Z</cp:lastPrinted>
  <dcterms:modified xsi:type="dcterms:W3CDTF">2001-03-14T20:48:00Z</dcterms:modified>
  <cp:revision>32</cp:revision>
  <dc:subject/>
  <dc:title> </dc:title>
</cp:coreProperties>
</file>