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b/>
        <w:tab/>
        <w:tab/>
        <w:tab/>
        <w:tab/>
        <w:tab/>
        <w:tab/>
      </w:r>
    </w:p>
    <w:p>
      <w:pPr>
        <w:pStyle w:val="Normal"/>
        <w:rPr>
          <w:sz w:val="22"/>
        </w:rPr>
      </w:pPr>
      <w:r>
        <w:rPr>
          <w:sz w:val="22"/>
        </w:rPr>
      </w:r>
    </w:p>
    <w:p>
      <w:pPr>
        <w:pStyle w:val="Normal"/>
        <w:ind w:start="7920" w:end="0"/>
        <w:rPr>
          <w:sz w:val="22"/>
        </w:rPr>
      </w:pPr>
      <w:r>
        <w:rPr>
          <w:sz w:val="22"/>
        </w:rPr>
        <w:t>July 27, 2000</w:t>
      </w:r>
    </w:p>
    <w:p>
      <w:pPr>
        <w:pStyle w:val="Normal"/>
        <w:rPr>
          <w:sz w:val="22"/>
        </w:rPr>
      </w:pPr>
      <w:r>
        <w:rPr>
          <w:sz w:val="22"/>
        </w:rPr>
      </w:r>
    </w:p>
    <w:p>
      <w:pPr>
        <w:pStyle w:val="Heading2"/>
        <w:ind w:hanging="0" w:start="0"/>
        <w:rPr>
          <w:smallCaps/>
          <w:sz w:val="36"/>
        </w:rPr>
      </w:pPr>
      <w:r>
        <w:rPr>
          <w:smallCaps/>
          <w:sz w:val="36"/>
        </w:rPr>
        <w:t>Request for Proposal</w:t>
      </w:r>
    </w:p>
    <w:p>
      <w:pPr>
        <w:pStyle w:val="Normal"/>
        <w:rPr>
          <w:smallCaps/>
          <w:sz w:val="22"/>
        </w:rPr>
      </w:pPr>
      <w:r>
        <w:rPr>
          <w:smallCaps/>
          <w:sz w:val="22"/>
        </w:rPr>
      </w:r>
    </w:p>
    <w:p>
      <w:pPr>
        <w:pStyle w:val="Normal"/>
        <w:jc w:val="both"/>
        <w:rPr>
          <w:sz w:val="22"/>
        </w:rPr>
      </w:pPr>
      <w:r>
        <w:rPr>
          <w:sz w:val="22"/>
        </w:rPr>
        <w:t>ISDA documents are the international standard for the documentation of privately negotiated derivatives transactions. With the advent of the electronic age, ISDA has experienced an increasing demand for documentation in electronic form. As the documentation itself migrates to electronic form, ISDA’s member institutions are increasingly interested in how technology can assist them in understanding issues affecting privately negotiated derivatives and facilitate the preparation, negotiation and execution of ISDA documents.</w:t>
      </w:r>
    </w:p>
    <w:p>
      <w:pPr>
        <w:pStyle w:val="Normal"/>
        <w:jc w:val="both"/>
        <w:rPr>
          <w:sz w:val="22"/>
        </w:rPr>
      </w:pPr>
      <w:r>
        <w:rPr>
          <w:sz w:val="22"/>
        </w:rPr>
      </w:r>
    </w:p>
    <w:p>
      <w:pPr>
        <w:pStyle w:val="Heading1"/>
        <w:ind w:hanging="0" w:start="0"/>
        <w:jc w:val="both"/>
        <w:rPr>
          <w:sz w:val="22"/>
        </w:rPr>
      </w:pPr>
      <w:r>
        <w:rPr>
          <w:sz w:val="22"/>
        </w:rPr>
        <w:t>Features of a Documentation Information and Management System</w:t>
      </w:r>
    </w:p>
    <w:p>
      <w:pPr>
        <w:pStyle w:val="Normal"/>
        <w:jc w:val="both"/>
        <w:rPr>
          <w:sz w:val="22"/>
        </w:rPr>
      </w:pPr>
      <w:r>
        <w:rPr>
          <w:sz w:val="22"/>
        </w:rPr>
      </w:r>
    </w:p>
    <w:p>
      <w:pPr>
        <w:pStyle w:val="Normal"/>
        <w:jc w:val="both"/>
        <w:rPr>
          <w:sz w:val="22"/>
        </w:rPr>
      </w:pPr>
      <w:r>
        <w:rPr>
          <w:sz w:val="22"/>
        </w:rPr>
        <w:t>ISDA envisions that an effective information and management system for documentation of derivatives agreements would consist of the following three features:</w:t>
      </w:r>
    </w:p>
    <w:p>
      <w:pPr>
        <w:pStyle w:val="Normal"/>
        <w:jc w:val="both"/>
        <w:rPr>
          <w:sz w:val="22"/>
        </w:rPr>
      </w:pPr>
      <w:r>
        <w:rPr>
          <w:sz w:val="22"/>
        </w:rPr>
      </w:r>
    </w:p>
    <w:p>
      <w:pPr>
        <w:pStyle w:val="Normal"/>
        <w:numPr>
          <w:ilvl w:val="0"/>
          <w:numId w:val="9"/>
        </w:numPr>
        <w:tabs>
          <w:tab w:val="clear" w:pos="720"/>
          <w:tab w:val="left" w:pos="1080" w:leader="none"/>
        </w:tabs>
        <w:ind w:hanging="360" w:start="1080" w:end="0"/>
        <w:jc w:val="both"/>
        <w:rPr>
          <w:sz w:val="22"/>
        </w:rPr>
      </w:pPr>
      <w:r>
        <w:rPr>
          <w:b/>
          <w:sz w:val="22"/>
          <w:u w:val="single"/>
        </w:rPr>
        <w:t>Electronic ISDA Documents:</w:t>
      </w:r>
      <w:r>
        <w:rPr>
          <w:sz w:val="22"/>
        </w:rPr>
        <w:t xml:space="preserve"> Electronic versions of ISDA documents, including its master agreements, credit support documents, definitions booklets and user’s guides. Interactive versions would be developed to ease navigation within and between portions of the ISDA documentation library. Access would be provided via the internet and perhaps in CD-ROM format. </w:t>
      </w:r>
    </w:p>
    <w:p>
      <w:pPr>
        <w:pStyle w:val="Normal"/>
        <w:jc w:val="both"/>
        <w:rPr>
          <w:sz w:val="22"/>
        </w:rPr>
      </w:pPr>
      <w:r>
        <w:rPr>
          <w:sz w:val="22"/>
        </w:rPr>
      </w:r>
    </w:p>
    <w:p>
      <w:pPr>
        <w:pStyle w:val="Normal"/>
        <w:numPr>
          <w:ilvl w:val="0"/>
          <w:numId w:val="9"/>
        </w:numPr>
        <w:tabs>
          <w:tab w:val="clear" w:pos="720"/>
          <w:tab w:val="left" w:pos="1080" w:leader="none"/>
        </w:tabs>
        <w:ind w:hanging="360" w:start="1080" w:end="0"/>
        <w:jc w:val="both"/>
        <w:rPr>
          <w:sz w:val="22"/>
        </w:rPr>
      </w:pPr>
      <w:r>
        <w:rPr>
          <w:b/>
          <w:sz w:val="22"/>
          <w:u w:val="single"/>
        </w:rPr>
        <w:t>Detailed Guidance and Advice:</w:t>
      </w:r>
      <w:r>
        <w:rPr>
          <w:sz w:val="22"/>
        </w:rPr>
        <w:t xml:space="preserve"> Additional information, presented interactively or as stand-alone information, which will provide detailed guidance and advice on specific jurisdictions or issues. While this advice is likely to consist primarily of legal advice, it could also encompass accounting, tax or risk management guidance on specific issues.</w:t>
      </w:r>
    </w:p>
    <w:p>
      <w:pPr>
        <w:pStyle w:val="Normal"/>
        <w:jc w:val="both"/>
        <w:rPr>
          <w:sz w:val="22"/>
        </w:rPr>
      </w:pPr>
      <w:r>
        <w:rPr>
          <w:sz w:val="22"/>
        </w:rPr>
      </w:r>
    </w:p>
    <w:p>
      <w:pPr>
        <w:pStyle w:val="Normal"/>
        <w:numPr>
          <w:ilvl w:val="0"/>
          <w:numId w:val="9"/>
        </w:numPr>
        <w:tabs>
          <w:tab w:val="clear" w:pos="720"/>
          <w:tab w:val="left" w:pos="1080" w:leader="none"/>
        </w:tabs>
        <w:ind w:hanging="360" w:start="1080" w:end="0"/>
        <w:jc w:val="both"/>
        <w:rPr>
          <w:sz w:val="22"/>
        </w:rPr>
      </w:pPr>
      <w:r>
        <w:rPr>
          <w:b/>
          <w:sz w:val="22"/>
          <w:u w:val="single"/>
        </w:rPr>
        <w:t>Negotiation Facility:</w:t>
      </w:r>
      <w:r>
        <w:rPr>
          <w:sz w:val="22"/>
        </w:rPr>
        <w:t xml:space="preserve"> A document preparation, negotiation and execution facility that will achieve the following:</w:t>
      </w:r>
    </w:p>
    <w:p>
      <w:pPr>
        <w:pStyle w:val="Normal"/>
        <w:jc w:val="both"/>
        <w:rPr>
          <w:sz w:val="22"/>
        </w:rPr>
      </w:pPr>
      <w:r>
        <w:rPr>
          <w:sz w:val="22"/>
        </w:rPr>
      </w:r>
    </w:p>
    <w:p>
      <w:pPr>
        <w:pStyle w:val="Normal"/>
        <w:numPr>
          <w:ilvl w:val="0"/>
          <w:numId w:val="3"/>
        </w:numPr>
        <w:tabs>
          <w:tab w:val="clear" w:pos="720"/>
          <w:tab w:val="left" w:pos="1440" w:leader="none"/>
        </w:tabs>
        <w:ind w:hanging="360" w:start="1440" w:end="0"/>
        <w:jc w:val="both"/>
        <w:rPr>
          <w:sz w:val="22"/>
        </w:rPr>
      </w:pPr>
      <w:r>
        <w:rPr>
          <w:sz w:val="22"/>
        </w:rPr>
        <w:t>guide parties through the preparation of a schedule to the ISDA Master Agreement and credit support documents;</w:t>
      </w:r>
    </w:p>
    <w:p>
      <w:pPr>
        <w:pStyle w:val="Normal"/>
        <w:numPr>
          <w:ilvl w:val="0"/>
          <w:numId w:val="3"/>
        </w:numPr>
        <w:tabs>
          <w:tab w:val="clear" w:pos="720"/>
          <w:tab w:val="left" w:pos="1440" w:leader="none"/>
        </w:tabs>
        <w:ind w:hanging="360" w:start="1440" w:end="0"/>
        <w:jc w:val="both"/>
        <w:rPr>
          <w:sz w:val="22"/>
        </w:rPr>
      </w:pPr>
      <w:r>
        <w:rPr>
          <w:sz w:val="22"/>
        </w:rPr>
        <w:t>provide for the transmission of draft documents to a counterparty;</w:t>
      </w:r>
    </w:p>
    <w:p>
      <w:pPr>
        <w:pStyle w:val="Normal"/>
        <w:numPr>
          <w:ilvl w:val="0"/>
          <w:numId w:val="3"/>
        </w:numPr>
        <w:tabs>
          <w:tab w:val="clear" w:pos="720"/>
          <w:tab w:val="left" w:pos="1440" w:leader="none"/>
        </w:tabs>
        <w:ind w:hanging="360" w:start="1440" w:end="0"/>
        <w:jc w:val="both"/>
        <w:rPr>
          <w:sz w:val="22"/>
        </w:rPr>
      </w:pPr>
      <w:r>
        <w:rPr>
          <w:sz w:val="22"/>
        </w:rPr>
        <w:t>permit the negotiation of the documents online; and</w:t>
      </w:r>
    </w:p>
    <w:p>
      <w:pPr>
        <w:pStyle w:val="Normal"/>
        <w:numPr>
          <w:ilvl w:val="0"/>
          <w:numId w:val="3"/>
        </w:numPr>
        <w:tabs>
          <w:tab w:val="clear" w:pos="720"/>
          <w:tab w:val="left" w:pos="1440" w:leader="none"/>
        </w:tabs>
        <w:ind w:hanging="360" w:start="1440" w:end="0"/>
        <w:jc w:val="both"/>
        <w:rPr>
          <w:sz w:val="22"/>
        </w:rPr>
      </w:pPr>
      <w:r>
        <w:rPr>
          <w:sz w:val="22"/>
        </w:rPr>
        <w:t>enable electronic execution of the Master Agreement and related documents.</w:t>
      </w:r>
    </w:p>
    <w:p>
      <w:pPr>
        <w:pStyle w:val="Normal"/>
        <w:jc w:val="both"/>
        <w:rPr>
          <w:sz w:val="22"/>
        </w:rPr>
      </w:pPr>
      <w:r>
        <w:rPr>
          <w:sz w:val="22"/>
        </w:rPr>
      </w:r>
    </w:p>
    <w:p>
      <w:pPr>
        <w:sectPr>
          <w:headerReference w:type="default" r:id="rId2"/>
          <w:footerReference w:type="default" r:id="rId3"/>
          <w:type w:val="nextPage"/>
          <w:pgSz w:w="12240" w:h="15840"/>
          <w:pgMar w:left="1440" w:right="1440" w:gutter="0" w:header="1440" w:top="3600" w:footer="720" w:bottom="1440"/>
          <w:pgNumType w:fmt="decimal"/>
          <w:formProt w:val="false"/>
          <w:textDirection w:val="lrTb"/>
          <w:docGrid w:type="default" w:linePitch="360" w:charSpace="0"/>
        </w:sectPr>
        <w:pStyle w:val="Normal"/>
        <w:jc w:val="both"/>
        <w:rPr>
          <w:sz w:val="22"/>
        </w:rPr>
      </w:pPr>
      <w:r>
        <w:rPr>
          <w:sz w:val="22"/>
        </w:rPr>
        <w:t>ISDA believes that there would be a great deal of interest among its membership in documentation information and management systems that contain these three features, particularly if the negotiation facility is developed with a view to establishing a market standard.</w:t>
      </w:r>
    </w:p>
    <w:p>
      <w:pPr>
        <w:pStyle w:val="Normal"/>
        <w:jc w:val="both"/>
        <w:rPr>
          <w:sz w:val="22"/>
        </w:rPr>
      </w:pPr>
      <w:r>
        <w:rPr>
          <w:sz w:val="22"/>
        </w:rPr>
      </w:r>
    </w:p>
    <w:p>
      <w:pPr>
        <w:pStyle w:val="Heading1"/>
        <w:ind w:hanging="0" w:start="0"/>
        <w:jc w:val="both"/>
        <w:rPr>
          <w:sz w:val="22"/>
        </w:rPr>
      </w:pPr>
      <w:r>
        <w:rPr>
          <w:sz w:val="22"/>
        </w:rPr>
        <w:t>Current Status of Efforts</w:t>
      </w:r>
    </w:p>
    <w:p>
      <w:pPr>
        <w:pStyle w:val="Normal"/>
        <w:jc w:val="both"/>
        <w:rPr>
          <w:sz w:val="22"/>
        </w:rPr>
      </w:pPr>
      <w:r>
        <w:rPr>
          <w:sz w:val="22"/>
        </w:rPr>
      </w:r>
    </w:p>
    <w:p>
      <w:pPr>
        <w:pStyle w:val="Normal"/>
        <w:jc w:val="both"/>
        <w:rPr>
          <w:sz w:val="22"/>
        </w:rPr>
      </w:pPr>
      <w:r>
        <w:rPr>
          <w:sz w:val="22"/>
        </w:rPr>
        <w:t>ISDA’s Board of Directors has determined that ISDA should make its documentation available in electronic form. Access to simple, “static” PDF versions of the document will be provided at a cost per document. Licenses for access to an interactive version of the documents will also be available. This interactive version would merely provide links within and between ISDA documents and would not reference external guidance or information.  In addition, the Board is considering licensing member institutions to place this interactive documentation on their intranets.</w:t>
      </w:r>
    </w:p>
    <w:p>
      <w:pPr>
        <w:pStyle w:val="Normal"/>
        <w:jc w:val="both"/>
        <w:rPr>
          <w:sz w:val="22"/>
        </w:rPr>
      </w:pPr>
      <w:r>
        <w:rPr>
          <w:sz w:val="22"/>
        </w:rPr>
      </w:r>
    </w:p>
    <w:p>
      <w:pPr>
        <w:pStyle w:val="Normal"/>
        <w:jc w:val="both"/>
        <w:rPr>
          <w:sz w:val="22"/>
        </w:rPr>
      </w:pPr>
      <w:r>
        <w:rPr>
          <w:sz w:val="22"/>
        </w:rPr>
        <w:t>ISDA does not intend to provide the type of detailed guidance and advice described in item 2 above. ISDA is aware of an interest in such an information source and has been approached by interested third parties in developing such a site, typically with access to ISDA documentation as a component of the service.</w:t>
      </w:r>
    </w:p>
    <w:p>
      <w:pPr>
        <w:pStyle w:val="Normal"/>
        <w:jc w:val="both"/>
        <w:rPr>
          <w:sz w:val="22"/>
        </w:rPr>
      </w:pPr>
      <w:r>
        <w:rPr>
          <w:sz w:val="22"/>
        </w:rPr>
      </w:r>
    </w:p>
    <w:p>
      <w:pPr>
        <w:pStyle w:val="Normal"/>
        <w:jc w:val="both"/>
        <w:rPr>
          <w:sz w:val="22"/>
        </w:rPr>
      </w:pPr>
      <w:r>
        <w:rPr>
          <w:sz w:val="22"/>
        </w:rPr>
        <w:t>ISDA is aware of efforts to develop mechanisms to facilitate the preparation, negotiation and execution of legal documents in the derivatives and other financial services areas. These efforts have been proprietary in nature, and ISDA believes that the differing standards and approaches have tended to detract from the effectiveness of such facilities. ISDA and its members believe that an effort to standardize an approach to these facilities would encourage their development and usefulness. It is for this reason that ISDA is issuing this request for proposals.</w:t>
      </w:r>
    </w:p>
    <w:p>
      <w:pPr>
        <w:pStyle w:val="Normal"/>
        <w:jc w:val="both"/>
        <w:rPr>
          <w:sz w:val="22"/>
        </w:rPr>
      </w:pPr>
      <w:r>
        <w:rPr>
          <w:sz w:val="22"/>
        </w:rPr>
      </w:r>
    </w:p>
    <w:p>
      <w:pPr>
        <w:pStyle w:val="Heading1"/>
        <w:ind w:hanging="0" w:start="0"/>
        <w:jc w:val="both"/>
        <w:rPr>
          <w:sz w:val="22"/>
        </w:rPr>
      </w:pPr>
      <w:r>
        <w:rPr>
          <w:sz w:val="22"/>
        </w:rPr>
        <w:t>Request for Proposals</w:t>
      </w:r>
    </w:p>
    <w:p>
      <w:pPr>
        <w:pStyle w:val="Normal"/>
        <w:jc w:val="both"/>
        <w:rPr>
          <w:sz w:val="22"/>
        </w:rPr>
      </w:pPr>
      <w:r>
        <w:rPr>
          <w:sz w:val="22"/>
        </w:rPr>
      </w:r>
    </w:p>
    <w:p>
      <w:pPr>
        <w:pStyle w:val="BodyText"/>
        <w:rPr>
          <w:sz w:val="22"/>
        </w:rPr>
      </w:pPr>
      <w:r>
        <w:rPr>
          <w:sz w:val="22"/>
        </w:rPr>
        <w:t>ISDA is requesting proposals for the development of a facility for the preparation, negotiation and execution of ISDA Master Agreements and related documents via the internet. ISDA believes that its membership would be best served by a facility that is developed in common by a number of active participants in the privately negotiated derivatives business, and would therefore encourage joint proposals from interested parties.  ISDA will also consider individual proposals.</w:t>
      </w:r>
    </w:p>
    <w:p>
      <w:pPr>
        <w:pStyle w:val="Normal"/>
        <w:jc w:val="both"/>
        <w:rPr>
          <w:sz w:val="22"/>
        </w:rPr>
      </w:pPr>
      <w:r>
        <w:rPr>
          <w:sz w:val="22"/>
        </w:rPr>
      </w:r>
    </w:p>
    <w:p>
      <w:pPr>
        <w:pStyle w:val="Normal"/>
        <w:jc w:val="both"/>
        <w:rPr>
          <w:sz w:val="22"/>
        </w:rPr>
      </w:pPr>
      <w:r>
        <w:rPr>
          <w:sz w:val="22"/>
        </w:rPr>
        <w:t>The successful proposal will, at a minimum, present a system that accomplishes the following:</w:t>
      </w:r>
    </w:p>
    <w:p>
      <w:pPr>
        <w:pStyle w:val="Normal"/>
        <w:jc w:val="both"/>
        <w:rPr>
          <w:sz w:val="22"/>
        </w:rPr>
      </w:pPr>
      <w:r>
        <w:rPr>
          <w:sz w:val="22"/>
        </w:rPr>
      </w:r>
    </w:p>
    <w:p>
      <w:pPr>
        <w:pStyle w:val="Normal"/>
        <w:numPr>
          <w:ilvl w:val="0"/>
          <w:numId w:val="4"/>
        </w:numPr>
        <w:tabs>
          <w:tab w:val="clear" w:pos="720"/>
          <w:tab w:val="left" w:pos="1080" w:leader="none"/>
        </w:tabs>
        <w:ind w:hanging="360" w:start="1080" w:end="0"/>
        <w:jc w:val="both"/>
        <w:rPr>
          <w:sz w:val="22"/>
        </w:rPr>
      </w:pPr>
      <w:r>
        <w:rPr>
          <w:sz w:val="22"/>
        </w:rPr>
        <w:t>Through a user-friendly interface, guide a user through the preparation of the schedule to an ISDA Master Agreement and related documents. Such an interface should be structured to facilitate the incorporation of a firm’s credit, operational and other requirements as well as to permit the incorporation of relevant legal guidance on issues to be addressed in the documents.</w:t>
      </w:r>
    </w:p>
    <w:p>
      <w:pPr>
        <w:pStyle w:val="Normal"/>
        <w:jc w:val="both"/>
        <w:rPr>
          <w:sz w:val="22"/>
        </w:rPr>
      </w:pPr>
      <w:r>
        <w:rPr>
          <w:sz w:val="22"/>
        </w:rPr>
      </w:r>
    </w:p>
    <w:p>
      <w:pPr>
        <w:pStyle w:val="Normal"/>
        <w:numPr>
          <w:ilvl w:val="0"/>
          <w:numId w:val="2"/>
        </w:numPr>
        <w:tabs>
          <w:tab w:val="clear" w:pos="720"/>
          <w:tab w:val="left" w:pos="300" w:leader="none"/>
          <w:tab w:val="left" w:pos="1080" w:leader="none"/>
        </w:tabs>
        <w:ind w:hanging="360" w:start="1080" w:end="0"/>
        <w:jc w:val="both"/>
        <w:rPr>
          <w:sz w:val="22"/>
        </w:rPr>
      </w:pPr>
      <w:r>
        <w:rPr>
          <w:sz w:val="22"/>
        </w:rPr>
        <w:t>Produce documents in a format that is universally readable and on which comments and corrections can be incorporated and readily identified.  The facility should provide that a party can limit access to the document via a secure website where access is limited to the parties to the negotiation.</w:t>
      </w:r>
    </w:p>
    <w:p>
      <w:pPr>
        <w:pStyle w:val="Normal"/>
        <w:jc w:val="both"/>
        <w:rPr>
          <w:sz w:val="22"/>
        </w:rPr>
      </w:pPr>
      <w:r>
        <w:rPr>
          <w:sz w:val="22"/>
        </w:rPr>
      </w:r>
    </w:p>
    <w:p>
      <w:pPr>
        <w:pStyle w:val="Normal"/>
        <w:numPr>
          <w:ilvl w:val="0"/>
          <w:numId w:val="8"/>
        </w:numPr>
        <w:tabs>
          <w:tab w:val="clear" w:pos="720"/>
          <w:tab w:val="left" w:pos="1080" w:leader="none"/>
        </w:tabs>
        <w:ind w:hanging="360" w:start="1080" w:end="0"/>
        <w:jc w:val="both"/>
        <w:rPr>
          <w:sz w:val="22"/>
        </w:rPr>
      </w:pPr>
      <w:r>
        <w:rPr>
          <w:sz w:val="22"/>
        </w:rPr>
        <w:t>Upon the completion of negotiations, attach the electronically generated and negotiated schedule to an electronic version of the ISDA Master Agreement and related documents to prepare the document for execution.</w:t>
      </w:r>
    </w:p>
    <w:p>
      <w:pPr>
        <w:pStyle w:val="Normal"/>
        <w:jc w:val="both"/>
        <w:rPr>
          <w:sz w:val="22"/>
        </w:rPr>
      </w:pPr>
      <w:r>
        <w:rPr>
          <w:sz w:val="22"/>
        </w:rPr>
      </w:r>
    </w:p>
    <w:p>
      <w:pPr>
        <w:pStyle w:val="Normal"/>
        <w:numPr>
          <w:ilvl w:val="0"/>
          <w:numId w:val="5"/>
        </w:numPr>
        <w:tabs>
          <w:tab w:val="clear" w:pos="720"/>
          <w:tab w:val="left" w:pos="1080" w:leader="none"/>
        </w:tabs>
        <w:ind w:hanging="360" w:start="1080" w:end="0"/>
        <w:jc w:val="both"/>
        <w:rPr>
          <w:sz w:val="22"/>
        </w:rPr>
      </w:pPr>
      <w:r>
        <w:rPr>
          <w:sz w:val="22"/>
        </w:rPr>
        <w:t>Using commonly accepted standards for electronic execution, facilitate the electronic execution of the documents, with confirmation of execution provided automatically to the other party.</w:t>
      </w:r>
    </w:p>
    <w:p>
      <w:pPr>
        <w:pStyle w:val="Normal"/>
        <w:jc w:val="both"/>
        <w:rPr>
          <w:sz w:val="22"/>
        </w:rPr>
      </w:pPr>
      <w:r>
        <w:rPr>
          <w:sz w:val="22"/>
        </w:rPr>
      </w:r>
    </w:p>
    <w:p>
      <w:pPr>
        <w:pStyle w:val="Normal"/>
        <w:numPr>
          <w:ilvl w:val="0"/>
          <w:numId w:val="6"/>
        </w:numPr>
        <w:tabs>
          <w:tab w:val="clear" w:pos="720"/>
          <w:tab w:val="left" w:pos="1080" w:leader="none"/>
        </w:tabs>
        <w:ind w:hanging="360" w:start="1080" w:end="0"/>
        <w:jc w:val="both"/>
        <w:rPr>
          <w:sz w:val="22"/>
        </w:rPr>
      </w:pPr>
      <w:r>
        <w:rPr>
          <w:sz w:val="22"/>
        </w:rPr>
        <w:t>Provide an online archive on the secure website for other correspondence and documentation related to the agreement between the two parties.</w:t>
      </w:r>
    </w:p>
    <w:p>
      <w:pPr>
        <w:pStyle w:val="Normal"/>
        <w:ind w:start="720" w:end="0"/>
        <w:jc w:val="both"/>
        <w:rPr>
          <w:sz w:val="22"/>
        </w:rPr>
      </w:pPr>
      <w:r>
        <w:rPr>
          <w:sz w:val="22"/>
        </w:rPr>
      </w:r>
    </w:p>
    <w:p>
      <w:pPr>
        <w:pStyle w:val="Normal"/>
        <w:numPr>
          <w:ilvl w:val="0"/>
          <w:numId w:val="7"/>
        </w:numPr>
        <w:tabs>
          <w:tab w:val="clear" w:pos="720"/>
          <w:tab w:val="left" w:pos="1080" w:leader="none"/>
        </w:tabs>
        <w:ind w:hanging="360" w:start="1080" w:end="0"/>
        <w:jc w:val="both"/>
        <w:rPr>
          <w:sz w:val="22"/>
        </w:rPr>
      </w:pPr>
      <w:r>
        <w:rPr>
          <w:sz w:val="22"/>
        </w:rPr>
        <w:t xml:space="preserve">Provide other means of streamlining the negotiation and execution process. </w:t>
      </w:r>
    </w:p>
    <w:p>
      <w:pPr>
        <w:pStyle w:val="Normal"/>
        <w:jc w:val="both"/>
        <w:rPr>
          <w:sz w:val="22"/>
        </w:rPr>
      </w:pPr>
      <w:r>
        <w:rPr>
          <w:sz w:val="22"/>
        </w:rPr>
      </w:r>
    </w:p>
    <w:p>
      <w:pPr>
        <w:pStyle w:val="BodyText"/>
        <w:rPr>
          <w:sz w:val="22"/>
        </w:rPr>
      </w:pPr>
      <w:r>
        <w:rPr>
          <w:sz w:val="22"/>
        </w:rPr>
        <w:t>Once a negotiation facility is developed, ISDA would be in a position to consider proposals for the licensing of its documentation and the negotiation facility to providers who are developing a document information and management system incorporating electronic versions of ISDA documents, detailed guidance and advice and a negotiation facility.  ISDA itself currently only intends to provide access to electronic versions of its documentation, and does not foresee itself providing detailed guidance or advice or the negotiation facility.</w:t>
      </w:r>
    </w:p>
    <w:p>
      <w:pPr>
        <w:pStyle w:val="Normal"/>
        <w:jc w:val="both"/>
        <w:rPr>
          <w:sz w:val="22"/>
        </w:rPr>
      </w:pPr>
      <w:r>
        <w:rPr>
          <w:sz w:val="22"/>
        </w:rPr>
      </w:r>
    </w:p>
    <w:p>
      <w:pPr>
        <w:pStyle w:val="Normal"/>
        <w:jc w:val="both"/>
        <w:rPr>
          <w:sz w:val="22"/>
        </w:rPr>
      </w:pPr>
      <w:r>
        <w:rPr>
          <w:sz w:val="22"/>
        </w:rPr>
        <w:t>In addition to the copyright in its documents, ISDA would own the rights to the negotiation facility. ISDA may make the underlying computer code and other technical requirements for such a facility available to third parties who are proposing to develop documentation information and management facilities. Alternatively, ISDA may make the technical details of the negotiation facility available in the public domain.  ISDA has not yet determined the basis on which the negotiation facility or its documentation would be made available to third parties, although it is undertaking this effort with a view to broadening its revenue base and enhancing its revenue stream.</w:t>
      </w:r>
    </w:p>
    <w:p>
      <w:pPr>
        <w:pStyle w:val="Normal"/>
        <w:jc w:val="both"/>
        <w:rPr>
          <w:sz w:val="22"/>
        </w:rPr>
      </w:pPr>
      <w:r>
        <w:rPr>
          <w:sz w:val="22"/>
        </w:rPr>
      </w:r>
    </w:p>
    <w:p>
      <w:pPr>
        <w:pStyle w:val="Heading3"/>
        <w:ind w:hanging="0" w:start="0"/>
        <w:rPr>
          <w:sz w:val="22"/>
        </w:rPr>
      </w:pPr>
      <w:r>
        <w:rPr>
          <w:sz w:val="22"/>
        </w:rPr>
        <w:t>Submission of Proposal</w:t>
      </w:r>
    </w:p>
    <w:p>
      <w:pPr>
        <w:pStyle w:val="Normal"/>
        <w:jc w:val="both"/>
        <w:rPr>
          <w:sz w:val="22"/>
        </w:rPr>
      </w:pPr>
      <w:r>
        <w:rPr>
          <w:sz w:val="22"/>
        </w:rPr>
      </w:r>
    </w:p>
    <w:p>
      <w:pPr>
        <w:pStyle w:val="Normal"/>
        <w:jc w:val="both"/>
        <w:rPr>
          <w:sz w:val="22"/>
        </w:rPr>
      </w:pPr>
      <w:r>
        <w:rPr>
          <w:sz w:val="22"/>
        </w:rPr>
        <w:t>ISDA welcomes proposals for the development of a facility for the preparation, negotiation and execution of Master Agreements and related documents and requests that persons interested in developing such a facility provide details on the facility and a timeline for completion not later than Friday, September 8, 2000.  ISDA welcomes proposals that suggest compensation schemes other than a simple fee for development of the facility. In addition, ISDA encourages joint proposals from interested parties.</w:t>
      </w:r>
    </w:p>
    <w:p>
      <w:pPr>
        <w:pStyle w:val="Normal"/>
        <w:jc w:val="both"/>
        <w:rPr>
          <w:sz w:val="22"/>
        </w:rPr>
      </w:pPr>
      <w:r>
        <w:rPr>
          <w:sz w:val="22"/>
        </w:rPr>
      </w:r>
    </w:p>
    <w:p>
      <w:pPr>
        <w:pStyle w:val="Normal"/>
        <w:jc w:val="both"/>
        <w:rPr>
          <w:sz w:val="22"/>
        </w:rPr>
      </w:pPr>
      <w:r>
        <w:rPr>
          <w:sz w:val="22"/>
        </w:rPr>
        <w:t xml:space="preserve">The proposal should also include a statement of the capabilities of interested parties to perform the functions laid out in this request for proposal.  References for similar projects should be provided, if available.  </w:t>
      </w:r>
    </w:p>
    <w:p>
      <w:pPr>
        <w:pStyle w:val="Normal"/>
        <w:jc w:val="both"/>
        <w:rPr>
          <w:sz w:val="22"/>
        </w:rPr>
      </w:pPr>
      <w:r>
        <w:rPr>
          <w:sz w:val="22"/>
        </w:rPr>
      </w:r>
    </w:p>
    <w:p>
      <w:pPr>
        <w:pStyle w:val="Normal"/>
        <w:jc w:val="both"/>
        <w:rPr/>
      </w:pPr>
      <w:r>
        <w:rPr>
          <w:sz w:val="22"/>
        </w:rPr>
        <w:t xml:space="preserve">If you have any questions on this request for proposal, please contact Bob Pickel, General Counsel of ISDA, at 212-332-2554 or by email at </w:t>
      </w:r>
      <w:hyperlink r:id="rId4">
        <w:r>
          <w:rPr>
            <w:rStyle w:val="Hyperlink"/>
            <w:sz w:val="22"/>
          </w:rPr>
          <w:t>rpickel@isda.org</w:t>
        </w:r>
      </w:hyperlink>
      <w:r>
        <w:rPr>
          <w:sz w:val="22"/>
        </w:rPr>
        <w:t>.</w:t>
      </w:r>
    </w:p>
    <w:sectPr>
      <w:headerReference w:type="default" r:id="rId5"/>
      <w:headerReference w:type="first" r:id="rId6"/>
      <w:footerReference w:type="default" r:id="rId7"/>
      <w:footerReference w:type="first" r:id="rId8"/>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jc w:val="both"/>
      <w:rPr>
        <w:b/>
        <w:spacing w:val="-2"/>
      </w:rPr>
    </w:pPr>
    <w:r>
      <w:rPr>
        <w:b/>
        <w:spacing w:val="-8"/>
        <w:sz w:val="64"/>
      </w:rPr>
      <w:t>ISDA</w:t>
    </w:r>
    <w:r>
      <w:rPr>
        <w:b/>
        <w:spacing w:val="-2"/>
      </w:rPr>
      <w:t>International Swaps and Derivatives Association, Inc.</w:t>
    </w:r>
  </w:p>
  <w:p>
    <w:pPr>
      <w:pStyle w:val="Normal"/>
      <w:tabs>
        <w:tab w:val="clear" w:pos="720"/>
        <w:tab w:val="left" w:pos="0" w:leader="none"/>
      </w:tabs>
      <w:suppressAutoHyphens w:val="true"/>
      <w:jc w:val="both"/>
      <w:rPr>
        <w:b/>
        <w:spacing w:val="-2"/>
      </w:rPr>
    </w:pPr>
    <w:r>
      <w:rPr>
        <w:b/>
        <w:spacing w:val="-2"/>
      </w:rPr>
      <w:t>600 Fifth Avenue, 27th Floor</w:t>
    </w:r>
  </w:p>
  <w:p>
    <w:pPr>
      <w:pStyle w:val="Normal"/>
      <w:tabs>
        <w:tab w:val="clear" w:pos="720"/>
        <w:tab w:val="left" w:pos="0" w:leader="none"/>
      </w:tabs>
      <w:suppressAutoHyphens w:val="true"/>
      <w:jc w:val="both"/>
      <w:rPr>
        <w:b/>
        <w:spacing w:val="-2"/>
      </w:rPr>
    </w:pPr>
    <w:r>
      <w:rPr>
        <w:b/>
        <w:spacing w:val="-2"/>
      </w:rPr>
      <w:t>Rockefeller Center</w:t>
    </w:r>
  </w:p>
  <w:p>
    <w:pPr>
      <w:pStyle w:val="Normal"/>
      <w:tabs>
        <w:tab w:val="clear" w:pos="720"/>
        <w:tab w:val="left" w:pos="0" w:leader="none"/>
      </w:tabs>
      <w:suppressAutoHyphens w:val="true"/>
      <w:jc w:val="both"/>
      <w:rPr>
        <w:b/>
        <w:spacing w:val="-2"/>
      </w:rPr>
    </w:pPr>
    <w:r>
      <w:rPr>
        <w:b/>
        <w:spacing w:val="-2"/>
      </w:rPr>
      <w:t>New York, New York 10020-2302</w:t>
    </w:r>
  </w:p>
  <w:p>
    <w:pPr>
      <w:pStyle w:val="Normal"/>
      <w:tabs>
        <w:tab w:val="clear" w:pos="720"/>
        <w:tab w:val="left" w:pos="0" w:leader="none"/>
      </w:tabs>
      <w:suppressAutoHyphens w:val="true"/>
      <w:jc w:val="both"/>
      <w:rPr>
        <w:b/>
        <w:spacing w:val="-2"/>
      </w:rPr>
    </w:pPr>
    <w:r>
      <w:rPr>
        <w:b/>
        <w:spacing w:val="-2"/>
      </w:rPr>
      <w:t xml:space="preserve">Telephone: (212) 332-1200 Facsimile: (212) 332-1212 </w:t>
    </w:r>
  </w:p>
  <w:p>
    <w:pPr>
      <w:pStyle w:val="Header"/>
      <w:rPr>
        <w:b/>
        <w:spacing w:val="-2"/>
      </w:rPr>
    </w:pPr>
    <w:r>
      <w:rPr>
        <w:b/>
        <w:spacing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rpickel@isda.org"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2000-07-27T17:51:00Z</dcterms:created>
  <dc:creator>Robert Pickel</dc:creator>
  <dc:description/>
  <dc:language>en-CA</dc:language>
  <cp:lastModifiedBy>Corrinne Greasley</cp:lastModifiedBy>
  <cp:lastPrinted>2000-07-27T12:12:00Z</cp:lastPrinted>
  <dcterms:modified xsi:type="dcterms:W3CDTF">2000-07-27T17:51:00Z</dcterms:modified>
  <cp:revision>2</cp:revision>
  <dc:subject/>
  <dc:title>ISDA documents are the international standard for the documentation of privately negotiated derivatives transactions</dc:title>
</cp:coreProperties>
</file>