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Submissions for</w:t>
      </w:r>
    </w:p>
    <w:p>
      <w:pPr>
        <w:pStyle w:val="Heading"/>
        <w:rPr/>
      </w:pPr>
      <w:r>
        <w:rPr/>
        <w:t>ISDA’s RFP</w:t>
      </w:r>
    </w:p>
    <w:p>
      <w:pPr>
        <w:pStyle w:val="Heading"/>
        <w:rPr/>
      </w:pPr>
      <w:r>
        <w:rPr/>
      </w:r>
    </w:p>
    <w:p>
      <w:pPr>
        <w:pStyle w:val="Normal"/>
        <w:jc w:val="center"/>
        <w:rPr>
          <w:b/>
          <w:sz w:val="24"/>
        </w:rPr>
      </w:pPr>
      <w:r>
        <w:rPr>
          <w:b/>
          <w:sz w:val="24"/>
        </w:rPr>
      </w:r>
    </w:p>
    <w:p>
      <w:pPr>
        <w:pStyle w:val="Normal"/>
        <w:numPr>
          <w:ilvl w:val="0"/>
          <w:numId w:val="4"/>
        </w:numPr>
        <w:jc w:val="both"/>
        <w:rPr>
          <w:sz w:val="24"/>
          <w:u w:val="single"/>
        </w:rPr>
      </w:pPr>
      <w:r>
        <w:rPr>
          <w:sz w:val="24"/>
          <w:u w:val="single"/>
        </w:rPr>
        <w:t>Allen &amp; Overy; Cravath, Swaine &amp; Moore; Mitsui, Yasuda, Wani &amp; Maeda; and Hengeler Mueller Weitzel Wirtz</w:t>
      </w:r>
    </w:p>
    <w:p>
      <w:pPr>
        <w:pStyle w:val="Normal"/>
        <w:jc w:val="both"/>
        <w:rPr>
          <w:sz w:val="24"/>
          <w:u w:val="single"/>
        </w:rPr>
      </w:pPr>
      <w:r>
        <w:rPr>
          <w:sz w:val="24"/>
          <w:u w:val="single"/>
        </w:rPr>
      </w:r>
    </w:p>
    <w:p>
      <w:pPr>
        <w:pStyle w:val="Heading1"/>
        <w:ind w:hanging="0" w:start="0"/>
        <w:rPr/>
      </w:pPr>
      <w:r>
        <w:rPr/>
        <w:t xml:space="preserve">This group of four law firms, operating in multiple jurisdictions, does not provide details on their proposed approach to the project.  The proposal instead highlights Allen &amp; Overy’s establishment of a Derivatives Services Group focused on the development of legal and documentation and risk management products, as well as the group’s substantial depth of experience in the derivatives and IT areas.  The group has worked with a number of IT and service providers, but for purposes of this proposal, does not wish to align with any one provide at this stage.  </w:t>
      </w:r>
    </w:p>
    <w:p>
      <w:pPr>
        <w:pStyle w:val="Heading1"/>
        <w:ind w:hanging="0" w:start="0"/>
        <w:rPr/>
      </w:pPr>
      <w:r>
        <w:rPr/>
      </w:r>
    </w:p>
    <w:p>
      <w:pPr>
        <w:pStyle w:val="Heading1"/>
        <w:ind w:hanging="0" w:start="0"/>
        <w:rPr/>
      </w:pPr>
      <w:r>
        <w:rPr/>
        <w:t>With respect to fees, the group states that it is extremely flexible and would consider a variety of options, including the payment to ISDA of a licensing fee.</w:t>
      </w:r>
    </w:p>
    <w:p>
      <w:pPr>
        <w:pStyle w:val="Normal"/>
        <w:jc w:val="both"/>
        <w:rPr>
          <w:sz w:val="24"/>
          <w:u w:val="single"/>
        </w:rPr>
      </w:pPr>
      <w:r>
        <w:rPr>
          <w:sz w:val="24"/>
          <w:u w:val="single"/>
        </w:rPr>
      </w:r>
    </w:p>
    <w:p>
      <w:pPr>
        <w:pStyle w:val="BodyText"/>
        <w:numPr>
          <w:ilvl w:val="0"/>
          <w:numId w:val="4"/>
        </w:numPr>
        <w:jc w:val="both"/>
        <w:rPr/>
      </w:pPr>
      <w:r>
        <w:rPr>
          <w:u w:val="single"/>
        </w:rPr>
        <w:t>Arcordia Solutions and Linklaters &amp; Alliance</w:t>
      </w:r>
    </w:p>
    <w:p>
      <w:pPr>
        <w:pStyle w:val="BodyText"/>
        <w:jc w:val="both"/>
        <w:rPr/>
      </w:pPr>
      <w:r>
        <w:rPr/>
        <w:t>Arcordia Solutions (“Arcordia”) and Linklaters &amp; Alliance (“Linklaters”) propose to utilize Arcordia’s existing component-based architecture, modified to accommodate ISDA’s membership, to process transactions.  Arcordia and Linklaters propose offering various functions, including a web-enabled user interface, document generation, workflow management, electronic document storage and retrieval facilities, online help facilities and charging and management information.</w:t>
      </w:r>
    </w:p>
    <w:p>
      <w:pPr>
        <w:pStyle w:val="BodyText"/>
        <w:jc w:val="both"/>
        <w:rPr/>
      </w:pPr>
      <w:r>
        <w:rPr/>
      </w:r>
    </w:p>
    <w:p>
      <w:pPr>
        <w:pStyle w:val="BodyText2"/>
        <w:rPr/>
      </w:pPr>
      <w:r>
        <w:rPr/>
        <w:t>Arcordia and Linklaters state that a cost schedule is difficult to submit at this stage and propose to submit such a schedule once agreement is reached on the scope and the timelines with ISDA.</w:t>
      </w:r>
    </w:p>
    <w:p>
      <w:pPr>
        <w:pStyle w:val="BodyText2"/>
        <w:rPr/>
      </w:pPr>
      <w:r>
        <w:rPr/>
      </w:r>
    </w:p>
    <w:p>
      <w:pPr>
        <w:pStyle w:val="BodyText2"/>
        <w:rPr/>
      </w:pPr>
      <w:r>
        <w:rPr/>
        <w:t>3.</w:t>
        <w:tab/>
      </w:r>
      <w:r>
        <w:rPr>
          <w:u w:val="single"/>
        </w:rPr>
        <w:t xml:space="preserve">Australian Financial Markets Association and Reuters Enterprise Solutions </w:t>
      </w:r>
    </w:p>
    <w:p>
      <w:pPr>
        <w:pStyle w:val="BodyText2"/>
        <w:rPr/>
      </w:pPr>
      <w:r>
        <w:rPr/>
        <w:t>The Australian Financial Markets Association (“AFMA”) and Reuters Enterprise Solutions, incorporating Tibco Finance Technology Inc., (“Reuters”) propose to provide a fully hosted service, to be set up, funded and operated by AFMA and Reuters.  AFMA and Reuters propose to provide a combination of software products and implementation services, including: front-end document creation, with document links to other functions, documents and data-bases; a portal, enabling a “window” into all aspects of the data required for transactions; workflow management software; and encryption and authentication technologies.</w:t>
      </w:r>
    </w:p>
    <w:p>
      <w:pPr>
        <w:pStyle w:val="BodyText2"/>
        <w:rPr/>
      </w:pPr>
      <w:r>
        <w:rPr/>
      </w:r>
    </w:p>
    <w:p>
      <w:pPr>
        <w:pStyle w:val="BodyText2"/>
        <w:rPr/>
      </w:pPr>
      <w:r>
        <w:rPr/>
        <w:t>AFMA and Reuters propose that ISDA may wish to become a member of their consortium and state that agreement be reached with ISDA on its receipt of revenue streams generated through fees per documents transacted.</w:t>
      </w:r>
    </w:p>
    <w:p>
      <w:pPr>
        <w:pStyle w:val="BodyText2"/>
        <w:rPr/>
      </w:pPr>
      <w:r>
        <w:rPr/>
      </w:r>
    </w:p>
    <w:p>
      <w:pPr>
        <w:pStyle w:val="BodyText2"/>
        <w:rPr/>
      </w:pPr>
      <w:r>
        <w:rPr/>
      </w:r>
    </w:p>
    <w:p>
      <w:pPr>
        <w:pStyle w:val="BodyText2"/>
        <w:rPr/>
      </w:pPr>
      <w:r>
        <w:rPr/>
      </w:r>
    </w:p>
    <w:p>
      <w:pPr>
        <w:pStyle w:val="BodyText2"/>
        <w:numPr>
          <w:ilvl w:val="0"/>
          <w:numId w:val="2"/>
        </w:numPr>
        <w:tabs>
          <w:tab w:val="left" w:pos="720" w:leader="none"/>
        </w:tabs>
        <w:ind w:hanging="720" w:start="720" w:end="0"/>
        <w:rPr/>
      </w:pPr>
      <w:r>
        <w:rPr>
          <w:u w:val="single"/>
        </w:rPr>
        <w:t>BeachFire</w:t>
      </w:r>
    </w:p>
    <w:p>
      <w:pPr>
        <w:pStyle w:val="BodyText2"/>
        <w:rPr/>
      </w:pPr>
      <w:r>
        <w:rPr/>
        <w:t>BeachFire, a software company based in Boston, propose to develop a negotiation facility based on their software and use of XML Schema and XML.  BeachFire’s proposal would allow the separation of document content from presentation and allow cross-references and emails relating to specific segments of the documents to be rendered on almost every target platform and format.  The BeachFire product (mock-ups of which were attached) allows for a great degree of customization of layout and presentation, as well as easy integration with existing databases and other applications.</w:t>
      </w:r>
    </w:p>
    <w:p>
      <w:pPr>
        <w:pStyle w:val="BodyText2"/>
        <w:rPr/>
      </w:pPr>
      <w:r>
        <w:rPr/>
      </w:r>
    </w:p>
    <w:p>
      <w:pPr>
        <w:pStyle w:val="BodyText2"/>
        <w:rPr/>
      </w:pPr>
      <w:r>
        <w:rPr/>
        <w:t>BeachFire proposes to perform a diagnostic survey of process costs and opportunities, followed by the development of detailed requirements for the negotiation facility.  BeachFire is also willing to work with another vendor, if ISDA decides to use a software company with, for example, a law firm.  BeachFire is also willing to act as a technical adviser, if ISDA chooses not to use its software product.  Although specific fees were not discussed, BeachFire is flexible in this discussion.</w:t>
      </w:r>
    </w:p>
    <w:p>
      <w:pPr>
        <w:pStyle w:val="BodyText2"/>
        <w:rPr/>
      </w:pPr>
      <w:r>
        <w:rPr/>
      </w:r>
    </w:p>
    <w:p>
      <w:pPr>
        <w:pStyle w:val="Normal"/>
        <w:jc w:val="both"/>
        <w:rPr/>
      </w:pPr>
      <w:r>
        <w:rPr>
          <w:sz w:val="24"/>
        </w:rPr>
        <w:t>5.</w:t>
        <w:tab/>
      </w:r>
      <w:r>
        <w:rPr>
          <w:sz w:val="24"/>
          <w:u w:val="single"/>
        </w:rPr>
        <w:t xml:space="preserve">Clifford Chance </w:t>
      </w:r>
    </w:p>
    <w:p>
      <w:pPr>
        <w:pStyle w:val="Heading1"/>
        <w:ind w:hanging="0" w:start="0"/>
        <w:rPr/>
      </w:pPr>
      <w:r>
        <w:rPr/>
        <w:t>Clifford Chance proposes a suite composed of four products:  (i) an inter and intra cross referenced product, with a walk-through tour of ISDA architecture; (ii) a “developer edition” product to allow subscribers to generate their own training and risk management systems; (iii) a document assembly function, enabling subscribers flexibility in building transaction documentation and precedents; and (iv) a phased approach to a negotiation facility to allow maximum colonization of other deal facilities.  Clifford Chance proposes to select an IT partner, with ISDA’s approval.</w:t>
      </w:r>
    </w:p>
    <w:p>
      <w:pPr>
        <w:pStyle w:val="Normal"/>
        <w:rPr>
          <w:sz w:val="24"/>
        </w:rPr>
      </w:pPr>
      <w:r>
        <w:rPr>
          <w:sz w:val="24"/>
        </w:rPr>
      </w:r>
    </w:p>
    <w:p>
      <w:pPr>
        <w:pStyle w:val="BodyText2"/>
        <w:rPr/>
      </w:pPr>
      <w:r>
        <w:rPr/>
        <w:t>Clifford Chance states that a cost schedule is difficult to submit at this stage and proposes to submit such a schedule once agreement is reached on project timelines with ISDA.</w:t>
      </w:r>
    </w:p>
    <w:p>
      <w:pPr>
        <w:pStyle w:val="Normal"/>
        <w:jc w:val="both"/>
        <w:rPr>
          <w:sz w:val="24"/>
        </w:rPr>
      </w:pPr>
      <w:r>
        <w:rPr>
          <w:sz w:val="24"/>
        </w:rPr>
        <w:t xml:space="preserve"> </w:t>
      </w:r>
    </w:p>
    <w:p>
      <w:pPr>
        <w:pStyle w:val="Normal"/>
        <w:numPr>
          <w:ilvl w:val="0"/>
          <w:numId w:val="3"/>
        </w:numPr>
        <w:tabs>
          <w:tab w:val="left" w:pos="720" w:leader="none"/>
        </w:tabs>
        <w:ind w:hanging="720" w:start="720" w:end="0"/>
        <w:jc w:val="both"/>
        <w:rPr>
          <w:sz w:val="24"/>
          <w:u w:val="single"/>
        </w:rPr>
      </w:pPr>
      <w:r>
        <w:rPr>
          <w:sz w:val="24"/>
          <w:u w:val="single"/>
        </w:rPr>
        <w:t>Enron Corporation and Mallesons Stephen Jaques Lawyers</w:t>
      </w:r>
    </w:p>
    <w:p>
      <w:pPr>
        <w:pStyle w:val="BodyText"/>
        <w:jc w:val="both"/>
        <w:rPr/>
      </w:pPr>
      <w:r>
        <w:rPr/>
        <w:t>Enron Corporation (“Enron”) and Mallesons Stephen Jaques Lawyers (“Mallesons”) propose to utilize DealBench, a wholly-owned entity of Enron.  DealBench is a tool to manage complex interactions with counterparties through an organized, secure and collaborative Internet-based environment.  The business tools available through DealBench include: document sharing; multi-media capabilities; auctioning tools; DealLine messaging system; and DealNotes reports used to monitor a transaction’s progress.  DealBench will be modified and customized to accommodate the needs of ISDA’s membership.</w:t>
      </w:r>
    </w:p>
    <w:p>
      <w:pPr>
        <w:pStyle w:val="BodyText"/>
        <w:jc w:val="both"/>
        <w:rPr/>
      </w:pPr>
      <w:r>
        <w:rPr/>
      </w:r>
    </w:p>
    <w:p>
      <w:pPr>
        <w:pStyle w:val="BodyText"/>
        <w:jc w:val="both"/>
        <w:rPr/>
      </w:pPr>
      <w:r>
        <w:rPr/>
        <w:t>Enron would not charge an initial payment for its services.  Rather, royalties will be paid to ISDA based upon license revenues paid by users of the ISDA-related part of the DealBench platform.</w:t>
      </w:r>
    </w:p>
    <w:p>
      <w:pPr>
        <w:pStyle w:val="BodyText"/>
        <w:jc w:val="both"/>
        <w:rPr/>
      </w:pPr>
      <w:r>
        <w:rPr/>
      </w:r>
    </w:p>
    <w:p>
      <w:pPr>
        <w:pStyle w:val="BodyText"/>
        <w:numPr>
          <w:ilvl w:val="0"/>
          <w:numId w:val="3"/>
        </w:numPr>
        <w:ind w:hanging="720" w:start="720" w:end="0"/>
        <w:jc w:val="both"/>
        <w:rPr/>
      </w:pPr>
      <w:r>
        <w:rPr>
          <w:u w:val="single"/>
        </w:rPr>
        <w:t>Intuitive Products International Corp.</w:t>
      </w:r>
    </w:p>
    <w:p>
      <w:pPr>
        <w:pStyle w:val="BodyText"/>
        <w:jc w:val="both"/>
        <w:rPr/>
      </w:pPr>
      <w:r>
        <w:rPr/>
      </w:r>
    </w:p>
    <w:p>
      <w:pPr>
        <w:pStyle w:val="BodyText"/>
        <w:jc w:val="both"/>
        <w:rPr/>
      </w:pPr>
      <w:r>
        <w:rPr/>
        <w:t xml:space="preserve">Intuitive Products International Corp. (“IPI”) proposes a documentation solution using an existing product, Scrittura.  Scrittura is a document generator and tracking system, specifically designed to automate the documentation process for OTC derivatives and structured products.  Scrittura is already used by various institutions selling and buying derivatives products.  The product can be custom-modified for the electronic negotiation and generation of master agreements.  </w:t>
      </w:r>
    </w:p>
    <w:p>
      <w:pPr>
        <w:pStyle w:val="BodyText"/>
        <w:jc w:val="both"/>
        <w:rPr/>
      </w:pPr>
      <w:r>
        <w:rPr/>
      </w:r>
    </w:p>
    <w:p>
      <w:pPr>
        <w:pStyle w:val="BodyText"/>
        <w:jc w:val="both"/>
        <w:rPr/>
      </w:pPr>
      <w:r>
        <w:rPr/>
        <w:t>IPI proposes to be compensated by a license fee, which could be inclusive of the configuration work.  IPI also states that it would consider a per transaction fee sharing arrangement in exchange for a discounted license fee.</w:t>
      </w:r>
    </w:p>
    <w:p>
      <w:pPr>
        <w:pStyle w:val="BodyText"/>
        <w:jc w:val="both"/>
        <w:rPr/>
      </w:pPr>
      <w:r>
        <w:rPr/>
        <w:t xml:space="preserve">  </w:t>
      </w:r>
    </w:p>
    <w:p>
      <w:pPr>
        <w:pStyle w:val="BodyText"/>
        <w:numPr>
          <w:ilvl w:val="0"/>
          <w:numId w:val="3"/>
        </w:numPr>
        <w:ind w:hanging="720" w:start="720" w:end="0"/>
        <w:jc w:val="both"/>
        <w:rPr>
          <w:u w:val="single"/>
        </w:rPr>
      </w:pPr>
      <w:r>
        <w:rPr>
          <w:u w:val="single"/>
        </w:rPr>
        <w:t>KPMG</w:t>
      </w:r>
    </w:p>
    <w:p>
      <w:pPr>
        <w:pStyle w:val="BodyText"/>
        <w:jc w:val="both"/>
        <w:rPr>
          <w:u w:val="single"/>
        </w:rPr>
      </w:pPr>
      <w:r>
        <w:rPr>
          <w:u w:val="single"/>
        </w:rPr>
      </w:r>
    </w:p>
    <w:p>
      <w:pPr>
        <w:pStyle w:val="BodyText"/>
        <w:jc w:val="both"/>
        <w:rPr/>
      </w:pPr>
      <w:r>
        <w:rPr/>
        <w:t xml:space="preserve">KPMG Consulting, LLC (“KPMG”) proposes an approach that focuses on an assessment of the business and technology requirements for ISDA members before moving to the creation of a specific technological architecture.  In other words, specific member needs and the identification of compatible technology options would be assessed before KPMG embarks upon the development of a documentation and negotiation facility.  </w:t>
      </w:r>
    </w:p>
    <w:p>
      <w:pPr>
        <w:pStyle w:val="BodyText"/>
        <w:jc w:val="both"/>
        <w:rPr/>
      </w:pPr>
      <w:r>
        <w:rPr/>
      </w:r>
    </w:p>
    <w:p>
      <w:pPr>
        <w:pStyle w:val="BodyText"/>
        <w:jc w:val="both"/>
        <w:rPr/>
      </w:pPr>
      <w:r>
        <w:rPr/>
        <w:t>More specifically, KPMG proposes a two part strategy:  (i)  Understanding of the current processes and identification of key user requirements, including interviews of representatives of key members to assist in defining business requirements, identification of industry relevant standards and practices and refining and validating business requirements with key members; and (ii) understanding of the current environment and research quality measures and standards, defining high-level IT strategy alternatives and developing high-level technology model.</w:t>
      </w:r>
    </w:p>
    <w:p>
      <w:pPr>
        <w:pStyle w:val="BodyText"/>
        <w:jc w:val="both"/>
        <w:rPr/>
      </w:pPr>
      <w:r>
        <w:rPr/>
      </w:r>
    </w:p>
    <w:p>
      <w:pPr>
        <w:pStyle w:val="BodyText"/>
        <w:jc w:val="both"/>
        <w:rPr/>
      </w:pPr>
      <w:r>
        <w:rPr/>
        <w:t xml:space="preserve">Once this two-part approach is complete, KPMG would work with ISDA to select an appropriate vendor.  </w:t>
      </w:r>
    </w:p>
    <w:p>
      <w:pPr>
        <w:pStyle w:val="BodyText"/>
        <w:jc w:val="both"/>
        <w:rPr/>
      </w:pPr>
      <w:r>
        <w:rPr/>
      </w:r>
    </w:p>
    <w:p>
      <w:pPr>
        <w:pStyle w:val="BodyText"/>
        <w:jc w:val="both"/>
        <w:rPr/>
      </w:pPr>
      <w:r>
        <w:rPr/>
        <w:t>KPMG is flexible with respect to fees and would be willing to consider a variety of compensation arrangements.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360"/>
      </w:pPr>
      <w:rPr/>
    </w:lvl>
  </w:abstractNum>
  <w:abstractNum w:abstractNumId="3">
    <w:lvl w:ilvl="0">
      <w:start w:val="6"/>
      <w:numFmt w:val="decimal"/>
      <w:lvlText w:val="%1."/>
      <w:lvlJc w:val="start"/>
      <w:pPr>
        <w:tabs>
          <w:tab w:val="num" w:pos="720"/>
        </w:tabs>
        <w:ind w:start="720" w:hanging="360"/>
      </w:pPr>
      <w:rPr>
        <w:u w:val="none"/>
      </w:rPr>
    </w:lvl>
  </w:abstractNum>
  <w:abstractNum w:abstractNumId="4">
    <w:lvl w:ilvl="0">
      <w:start w:val="1"/>
      <w:numFmt w:val="decimal"/>
      <w:lvlText w:val="%1."/>
      <w:lvlJc w:val="start"/>
      <w:pPr>
        <w:tabs>
          <w:tab w:val="num" w:pos="720"/>
        </w:tabs>
        <w:ind w:start="720" w:hanging="7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character" w:styleId="WW8Num1z0">
    <w:name w:val="WW8Num1z0"/>
    <w:qFormat/>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u w:val="none"/>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2000-12-29T18:03:00Z</dcterms:created>
  <dc:creator>Kimberly Summe</dc:creator>
  <dc:description/>
  <dc:language>en-CA</dc:language>
  <cp:lastModifiedBy>Robert Pickel</cp:lastModifiedBy>
  <cp:lastPrinted>2000-12-20T11:31:00Z</cp:lastPrinted>
  <dcterms:modified xsi:type="dcterms:W3CDTF">2000-12-29T18:03:00Z</dcterms:modified>
  <cp:revision>2</cp:revision>
  <dc:subject/>
  <dc:title>Summary of Submissions to </dc:title>
</cp:coreProperties>
</file>