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Fuel cells are well known to be both clean and reliable sources of electricity.  Enron and its technology partners are currently engaged in a project that will revolutionize the high technology power markets.  Currently, massive amounts of money are spent on UPS systems, batteries, and diesel generators to make the electric grid more reliable for the customer.  Enron is looking for test sites to demonstrate the new application for fuel cell technology during the 2001 calendar year.  Expected commercialization is mid to late 2002.  It is estimated that by 2003, high rate manufacturing will bring the cost of fuel cells down significantly and mass commercialization will be possible.</w:t>
      </w:r>
    </w:p>
    <w:p>
      <w:pPr>
        <w:pStyle w:val="Normal"/>
        <w:spacing w:lineRule="auto" w:line="480"/>
        <w:rPr>
          <w:sz w:val="24"/>
        </w:rPr>
      </w:pPr>
      <w:r>
        <w:rPr>
          <w:sz w:val="24"/>
        </w:rPr>
        <w:t xml:space="preserve">As part of Austin’s efforts to provide reliable, green power to high technology firms in the Austin area, we would recommend the purchase of our fuel cell solution.  These fuel cells will deliver power reliability of at least 99.999% and power quality that exceeds the grid.  </w:t>
      </w:r>
    </w:p>
    <w:p>
      <w:pPr>
        <w:pStyle w:val="Normal"/>
        <w:spacing w:lineRule="auto" w:line="480"/>
        <w:rPr>
          <w:sz w:val="24"/>
        </w:rPr>
      </w:pPr>
      <w:r>
        <w:rPr>
          <w:sz w:val="24"/>
        </w:rPr>
        <w:t xml:space="preserve">This new system will also eliminate the need for UPS systems, batteries, and diesel generators.  By eliminating these components, the customer will receive valuable floor space that can be used to generate significantly higher revenues per location.  Transmission constraints in the customer’s location will be reduced to facilitate the utility serving other customer’s needs by using this system. </w:t>
      </w:r>
    </w:p>
    <w:p>
      <w:pPr>
        <w:pStyle w:val="Normal"/>
        <w:spacing w:lineRule="auto" w:line="480"/>
        <w:rPr>
          <w:sz w:val="24"/>
        </w:rPr>
      </w:pPr>
      <w:r>
        <w:rPr>
          <w:sz w:val="24"/>
        </w:rPr>
        <w:t>A ten-megawatt system is recommended, and can be placed in any high technology customer’s building.  The capacity payment is estimated to be $13.54 kW/mo.  The equipment will possess a 7500 heat rate at the point of use by the customer.  The term will be twenty years.  Constant monitoring will also be done through Enron’s remote management center.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2001-01-18T19:20:00Z</dcterms:created>
  <dc:creator>jberger</dc:creator>
  <dc:description/>
  <dc:language>en-CA</dc:language>
  <cp:lastModifiedBy>jberger</cp:lastModifiedBy>
  <dcterms:modified xsi:type="dcterms:W3CDTF">2001-01-18T19:40:00Z</dcterms:modified>
  <cp:revision>3</cp:revision>
  <dc:subject/>
  <dc:title>Fuel cells are well known to be both clean and reliable sources of electricity</dc:title>
</cp:coreProperties>
</file>