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sz w:val="24"/>
        </w:rPr>
      </w:pPr>
      <w:r>
        <w:rPr>
          <w:sz w:val="24"/>
          <w:rPrChange w:id="0" w:author="Unknown" w:date="0-00-00T00:00:00Z"/>
        </w:rPr>
        <w:t>San Diego Gas &amp; Electric</w:t>
      </w:r>
      <w:r>
        <w:rPr>
          <w:sz w:val="24"/>
          <w:rPrChange w:id="0" w:author="Terry Farrelly" w:date="2000-08-18T14:55:00Z"/>
        </w:rPr>
        <w:t xml:space="preserve"> Company</w:t>
        <w:rPrChange w:id="0" w:author="Unknown" w:date="0-00-00T00:00:00Z"/>
      </w:r>
    </w:p>
    <w:p>
      <w:pPr>
        <w:pStyle w:val="Normal"/>
        <w:jc w:val="center"/>
        <w:rPr>
          <w:b/>
        </w:rPr>
      </w:pPr>
      <w:r>
        <w:rPr>
          <w:b/>
        </w:rPr>
        <w:t>Request for Proposal for Firm Power</w:t>
      </w:r>
    </w:p>
    <w:p>
      <w:pPr>
        <w:pStyle w:val="Normal"/>
        <w:jc w:val="center"/>
        <w:rPr>
          <w:b/>
        </w:rPr>
      </w:pPr>
      <w:r>
        <w:rPr>
          <w:b/>
        </w:rPr>
        <w:t>August 22, 2000</w:t>
      </w:r>
    </w:p>
    <w:p>
      <w:pPr>
        <w:pStyle w:val="Normal"/>
        <w:jc w:val="center"/>
        <w:rPr>
          <w:b/>
        </w:rPr>
      </w:pPr>
      <w:r>
        <w:rPr>
          <w:b/>
        </w:rPr>
      </w:r>
    </w:p>
    <w:p>
      <w:pPr>
        <w:pStyle w:val="Normal"/>
        <w:jc w:val="center"/>
        <w:rPr/>
      </w:pPr>
      <w:r>
        <w:rPr/>
      </w:r>
    </w:p>
    <w:p>
      <w:pPr>
        <w:pStyle w:val="Normal"/>
        <w:rPr/>
      </w:pPr>
      <w:r>
        <w:rPr/>
        <w:t xml:space="preserve">San Diego Gas &amp; Electric Company (“SDG&amp;E”) hereby issues this request for proposals (“RFP”) for firm electric energy from prospective suppliers to manage the energy costs of San Diego area consumers.     </w:t>
      </w:r>
    </w:p>
    <w:p>
      <w:pPr>
        <w:pStyle w:val="Normal"/>
        <w:rPr/>
      </w:pPr>
      <w:r>
        <w:rPr/>
      </w:r>
    </w:p>
    <w:p>
      <w:pPr>
        <w:pStyle w:val="Normal"/>
        <w:rPr/>
      </w:pPr>
      <w:r>
        <w:rPr/>
        <w:t>The terms and quantities are indicated below:</w:t>
      </w:r>
    </w:p>
    <w:p>
      <w:pPr>
        <w:pStyle w:val="Normal"/>
        <w:rPr/>
      </w:pPr>
      <w:r>
        <w:rPr/>
      </w:r>
    </w:p>
    <w:p>
      <w:pPr>
        <w:pStyle w:val="Heading1"/>
        <w:ind w:hanging="0" w:start="0"/>
        <w:rPr>
          <w:b/>
        </w:rPr>
      </w:pPr>
      <w:r>
        <w:rPr>
          <w:b/>
        </w:rPr>
        <w:t>Price</w:t>
      </w:r>
    </w:p>
    <w:p>
      <w:pPr>
        <w:pStyle w:val="Normal"/>
        <w:rPr/>
      </w:pPr>
      <w:r>
        <w:rPr/>
        <w:t xml:space="preserve">Fixed price  </w:t>
      </w:r>
    </w:p>
    <w:p>
      <w:pPr>
        <w:pStyle w:val="Normal"/>
        <w:rPr/>
      </w:pPr>
      <w:r>
        <w:rPr/>
      </w:r>
    </w:p>
    <w:p>
      <w:pPr>
        <w:pStyle w:val="Heading1"/>
        <w:ind w:hanging="0" w:start="0"/>
        <w:rPr>
          <w:b/>
        </w:rPr>
      </w:pPr>
      <w:r>
        <w:rPr>
          <w:b/>
        </w:rPr>
        <w:t>Delivery point</w:t>
      </w:r>
    </w:p>
    <w:p>
      <w:pPr>
        <w:pStyle w:val="Normal"/>
        <w:rPr/>
      </w:pPr>
      <w:r>
        <w:rPr/>
        <w:t>Bidder’s Offer shall designate only one of the following as the Point of Delivery to SDG&amp;E:  (1) any load takeout point designated by the California Independent System Operator as being within the San Diego Local Reliability Area (SDLRA), or (2) Palo Verde, with congestion risk mitigated by Bidder between SP15 and SDLRA.</w:t>
      </w:r>
    </w:p>
    <w:p>
      <w:pPr>
        <w:pStyle w:val="Normal"/>
        <w:rPr/>
      </w:pPr>
      <w:r>
        <w:rPr/>
      </w:r>
    </w:p>
    <w:p>
      <w:pPr>
        <w:pStyle w:val="Heading1"/>
        <w:ind w:hanging="0" w:start="0"/>
        <w:rPr>
          <w:b/>
        </w:rPr>
      </w:pPr>
      <w:r>
        <w:rPr>
          <w:b/>
        </w:rPr>
        <w:t>Energy quantities and terms</w:t>
      </w:r>
    </w:p>
    <w:p>
      <w:pPr>
        <w:pStyle w:val="Normal"/>
        <w:rPr/>
      </w:pPr>
      <w:r>
        <w:rPr/>
        <w:t>SDG&amp;E will consider the following offers:</w:t>
      </w:r>
    </w:p>
    <w:p>
      <w:pPr>
        <w:pStyle w:val="Normal"/>
        <w:rPr/>
      </w:pPr>
      <w:r>
        <w:rPr/>
      </w:r>
    </w:p>
    <w:p>
      <w:pPr>
        <w:pStyle w:val="Normal"/>
        <w:numPr>
          <w:ilvl w:val="0"/>
          <w:numId w:val="2"/>
        </w:numPr>
        <w:rPr/>
      </w:pPr>
      <w:r>
        <w:rPr/>
        <w:t>Firm quantities no less than 10 MW and no greater than 400 MW of 7 day, 24 hour duration.  Term shall begin on the Start Date, as described below, and shall continue until December 31, 2001, December 31, 2002, or December 31, 2003.  SDG&amp;E will also consider proposals for each of the one year periods January 1, 2002 through December 31, 2002 and January 1, 2003 through December 31, 2003.</w:t>
      </w:r>
    </w:p>
    <w:p>
      <w:pPr>
        <w:pStyle w:val="Header"/>
        <w:tabs>
          <w:tab w:val="clear" w:pos="4320"/>
          <w:tab w:val="clear" w:pos="8640"/>
        </w:tabs>
        <w:rPr/>
      </w:pPr>
      <w:r>
        <w:rPr/>
      </w:r>
    </w:p>
    <w:p>
      <w:pPr>
        <w:pStyle w:val="Normal"/>
        <w:numPr>
          <w:ilvl w:val="0"/>
          <w:numId w:val="2"/>
        </w:numPr>
        <w:rPr/>
      </w:pPr>
      <w:r>
        <w:rPr/>
        <w:t>Firm quantities no less than 10 MW or greater than 400 MW of on-peak power (6 day, 16 hour, Monday-Saturday, excluding NERC holidays).  For on-peak proposals, SDG&amp;E will consider both dispatchable and non-dispatchable offers.   Term shall begin on the Start Date, as described below, and shall continue until December 31, 2001, December 31, 2002, or December 31, 2003. SDG&amp;E will also consider proposals for each of the one year periods January 1, 2002 through December 31, 2002 and January 1, 2003 through December 31, 2003.</w:t>
      </w:r>
    </w:p>
    <w:p>
      <w:pPr>
        <w:pStyle w:val="Normal"/>
        <w:rPr/>
      </w:pPr>
      <w:r>
        <w:rPr/>
      </w:r>
    </w:p>
    <w:p>
      <w:pPr>
        <w:pStyle w:val="Normal"/>
        <w:numPr>
          <w:ilvl w:val="0"/>
          <w:numId w:val="2"/>
        </w:numPr>
        <w:rPr/>
      </w:pPr>
      <w:r>
        <w:rPr/>
        <w:t>Firm quantities no less than 10 MW or greater than 100 MW of super on-peak energy (hour ending 1300 to hour ending 2000, Monday-Saturday, excluding NERC holidays) for the period (1) Start Date, as described below, through September 30, 2000, (2) July 1, 2001 through September 30, 2001, (3) July 1, 2002 through September 30, 2002, or (4) July 1, 2003 through September 30, 2003.   SDG&amp;E will consider both dispatchable and non-dispatchable proposals for super on-peak energy.</w:t>
      </w:r>
    </w:p>
    <w:p>
      <w:pPr>
        <w:pStyle w:val="Normal"/>
        <w:rPr/>
      </w:pPr>
      <w:r>
        <w:rPr/>
      </w:r>
    </w:p>
    <w:p>
      <w:pPr>
        <w:pStyle w:val="BodyTextIndent"/>
        <w:numPr>
          <w:ilvl w:val="0"/>
          <w:numId w:val="2"/>
        </w:numPr>
        <w:rPr/>
      </w:pPr>
      <w:r>
        <w:rPr/>
        <w:t>Firm dispatchable quantities no less than 10 MW up to 200 MW of 7 day, 24 hour duration for the period starting October 1, 2000 through February 28, 2001.</w:t>
      </w:r>
    </w:p>
    <w:p>
      <w:pPr>
        <w:pStyle w:val="Normal"/>
        <w:rPr/>
      </w:pPr>
      <w:r>
        <w:rPr/>
      </w:r>
    </w:p>
    <w:p>
      <w:pPr>
        <w:pStyle w:val="Heading1"/>
        <w:ind w:hanging="0" w:start="0"/>
        <w:rPr/>
      </w:pPr>
      <w:r>
        <w:rPr>
          <w:u w:val="none"/>
        </w:rPr>
        <w:t xml:space="preserve">For purposes of the above, the term “dispatchable”, means that SDG&amp;E has the right to designate hourly deliveries by 6:00 a.m. of the day prior to such delivery.  “Firm” is as defined in </w:t>
      </w:r>
      <w:r>
        <w:rPr/>
        <w:t>Western Systems Power Pool Agreement</w:t>
      </w:r>
      <w:r>
        <w:rPr>
          <w:u w:val="none"/>
        </w:rPr>
        <w:t xml:space="preserve"> (the “WSPP Agreement”).</w:t>
      </w:r>
    </w:p>
    <w:p>
      <w:pPr>
        <w:pStyle w:val="Normal"/>
        <w:rPr>
          <w:u w:val="none"/>
        </w:rPr>
      </w:pPr>
      <w:r>
        <w:rPr>
          <w:u w:val="none"/>
        </w:rPr>
      </w:r>
    </w:p>
    <w:p>
      <w:pPr>
        <w:pStyle w:val="Heading2"/>
        <w:ind w:hanging="0" w:start="0"/>
        <w:rPr>
          <w:sz w:val="24"/>
        </w:rPr>
      </w:pPr>
      <w:r>
        <w:rPr>
          <w:sz w:val="24"/>
        </w:rPr>
        <w:t>Bid Submission</w:t>
      </w:r>
    </w:p>
    <w:p>
      <w:pPr>
        <w:pStyle w:val="Normal"/>
        <w:rPr/>
      </w:pPr>
      <w:r>
        <w:rPr/>
        <w:t>Proposals should be sent to the attention of Sharon Firooz as follows:</w:t>
      </w:r>
    </w:p>
    <w:p>
      <w:pPr>
        <w:pStyle w:val="Normal"/>
        <w:rPr/>
      </w:pPr>
      <w:r>
        <w:rPr/>
      </w:r>
    </w:p>
    <w:p>
      <w:pPr>
        <w:pStyle w:val="Normal"/>
        <w:rPr/>
      </w:pPr>
      <w:r>
        <w:rPr/>
        <w:t xml:space="preserve">Fax: </w:t>
        <w:tab/>
        <w:tab/>
        <w:t>858-650-6158</w:t>
      </w:r>
    </w:p>
    <w:p>
      <w:pPr>
        <w:pStyle w:val="Normal"/>
        <w:rPr/>
      </w:pPr>
      <w:r>
        <w:rPr/>
        <w:t>E-mail:</w:t>
        <w:tab/>
        <w:tab/>
      </w:r>
      <w:hyperlink r:id="rId2">
        <w:r>
          <w:rPr>
            <w:rStyle w:val="Hyperlink"/>
          </w:rPr>
          <w:t>sfirooz@sdge.com</w:t>
        </w:r>
      </w:hyperlink>
    </w:p>
    <w:p>
      <w:pPr>
        <w:pStyle w:val="Normal"/>
        <w:rPr/>
      </w:pPr>
      <w:r>
        <w:rPr/>
        <w:t>Address:</w:t>
        <w:tab/>
        <w:t>San Diego Gas &amp; Electric</w:t>
      </w:r>
    </w:p>
    <w:p>
      <w:pPr>
        <w:pStyle w:val="Normal"/>
        <w:rPr/>
      </w:pPr>
      <w:r>
        <w:rPr/>
        <w:tab/>
        <w:tab/>
        <w:t>8306 Century Part Court, Suite 41D</w:t>
      </w:r>
    </w:p>
    <w:p>
      <w:pPr>
        <w:pStyle w:val="Normal"/>
        <w:rPr/>
      </w:pPr>
      <w:r>
        <w:rPr/>
        <w:tab/>
        <w:tab/>
        <w:t>San Diego, CA 92123-1593</w:t>
      </w:r>
    </w:p>
    <w:p>
      <w:pPr>
        <w:pStyle w:val="Normal"/>
        <w:rPr/>
      </w:pPr>
      <w:r>
        <w:rPr/>
      </w:r>
    </w:p>
    <w:p>
      <w:pPr>
        <w:pStyle w:val="Heading3"/>
        <w:ind w:hanging="0" w:start="0"/>
        <w:rPr/>
      </w:pPr>
      <w:r>
        <w:rPr/>
        <w:t>Bid Submission Schedule</w:t>
      </w:r>
    </w:p>
    <w:p>
      <w:pPr>
        <w:pStyle w:val="Normal"/>
        <w:rPr/>
      </w:pPr>
      <w:r>
        <w:rPr/>
      </w:r>
    </w:p>
    <w:p>
      <w:pPr>
        <w:pStyle w:val="Normal"/>
        <w:rPr/>
      </w:pPr>
      <w:r>
        <w:rPr/>
        <w:t xml:space="preserve">SDG&amp;E has no current authority to enter into arrangements as contemplated in this RFP.  As such, SDG&amp;E intends to proceed on the following schedule in order to obtain CPUC approval of any agreements resulting from this process: </w:t>
      </w:r>
    </w:p>
    <w:p>
      <w:pPr>
        <w:pStyle w:val="Normal"/>
        <w:rPr/>
      </w:pPr>
      <w:r>
        <w:rPr/>
      </w:r>
    </w:p>
    <w:p>
      <w:pPr>
        <w:pStyle w:val="Normal"/>
        <w:numPr>
          <w:ilvl w:val="0"/>
          <w:numId w:val="3"/>
        </w:numPr>
        <w:tabs>
          <w:tab w:val="clear" w:pos="720"/>
          <w:tab w:val="left" w:pos="1080" w:leader="none"/>
        </w:tabs>
        <w:ind w:hanging="360" w:start="1080" w:end="0"/>
        <w:rPr/>
      </w:pPr>
      <w:r>
        <w:rPr/>
        <w:t xml:space="preserve">Proposals must be received by SDG&amp;E in writing </w:t>
      </w:r>
      <w:r>
        <w:rPr>
          <w:b/>
          <w:u w:val="single"/>
        </w:rPr>
        <w:t>no later than noon, Pacific Time on Wednesday, August 30, 2000.</w:t>
      </w:r>
      <w:r>
        <w:rPr/>
        <w:t xml:space="preserve">  </w:t>
      </w:r>
    </w:p>
    <w:p>
      <w:pPr>
        <w:pStyle w:val="Normal"/>
        <w:tabs>
          <w:tab w:val="clear" w:pos="720"/>
          <w:tab w:val="left" w:pos="1080" w:leader="none"/>
        </w:tabs>
        <w:ind w:start="1080" w:end="0"/>
        <w:rPr/>
      </w:pPr>
      <w:r>
        <w:rPr/>
      </w:r>
    </w:p>
    <w:p>
      <w:pPr>
        <w:pStyle w:val="Normal"/>
        <w:numPr>
          <w:ilvl w:val="0"/>
          <w:numId w:val="3"/>
        </w:numPr>
        <w:tabs>
          <w:tab w:val="clear" w:pos="720"/>
          <w:tab w:val="left" w:pos="1080" w:leader="none"/>
        </w:tabs>
        <w:ind w:hanging="360" w:start="1080" w:end="0"/>
        <w:rPr/>
      </w:pPr>
      <w:r>
        <w:rPr/>
        <w:t xml:space="preserve">SDG&amp;E expects to provide the offers or summaries of these offers to the California Public Utilities Commission, in anticipation of CPUC action at its business meeting on September 7, 2000. SDG&amp;E will request confidential treatment by the CPUC under applicable law. </w:t>
      </w:r>
    </w:p>
    <w:p>
      <w:pPr>
        <w:pStyle w:val="Normal"/>
        <w:tabs>
          <w:tab w:val="clear" w:pos="720"/>
          <w:tab w:val="left" w:pos="1080" w:leader="none"/>
        </w:tabs>
        <w:ind w:start="1080" w:end="0"/>
        <w:rPr>
          <w:b/>
          <w:u w:val="single"/>
        </w:rPr>
      </w:pPr>
      <w:r>
        <w:rPr>
          <w:b/>
          <w:u w:val="single"/>
        </w:rPr>
      </w:r>
    </w:p>
    <w:p>
      <w:pPr>
        <w:pStyle w:val="Normal"/>
        <w:numPr>
          <w:ilvl w:val="0"/>
          <w:numId w:val="3"/>
        </w:numPr>
        <w:tabs>
          <w:tab w:val="clear" w:pos="720"/>
          <w:tab w:val="left" w:pos="1080" w:leader="none"/>
        </w:tabs>
        <w:ind w:hanging="360" w:start="1080" w:end="0"/>
        <w:rPr/>
      </w:pPr>
      <w:r>
        <w:rPr>
          <w:b/>
          <w:u w:val="single"/>
        </w:rPr>
        <w:t>Bidders may adjust their proposals, if necessary to reflect changes in market conditions, by providing SDG&amp;E written notice detailing the nature of their proposed adjustment no later than noon Pacific Time on Tuesday, September 5, 2000.</w:t>
      </w:r>
      <w:r>
        <w:rPr/>
        <w:t xml:space="preserve">  </w:t>
      </w:r>
    </w:p>
    <w:p>
      <w:pPr>
        <w:pStyle w:val="Normal"/>
        <w:tabs>
          <w:tab w:val="clear" w:pos="720"/>
          <w:tab w:val="left" w:pos="1080" w:leader="none"/>
        </w:tabs>
        <w:ind w:start="1080" w:end="0"/>
        <w:rPr/>
      </w:pPr>
      <w:r>
        <w:rPr/>
      </w:r>
    </w:p>
    <w:p>
      <w:pPr>
        <w:pStyle w:val="Normal"/>
        <w:numPr>
          <w:ilvl w:val="0"/>
          <w:numId w:val="3"/>
        </w:numPr>
        <w:tabs>
          <w:tab w:val="clear" w:pos="720"/>
          <w:tab w:val="left" w:pos="1080" w:leader="none"/>
        </w:tabs>
        <w:ind w:hanging="360" w:start="1080" w:end="0"/>
        <w:rPr/>
      </w:pPr>
      <w:r>
        <w:rPr/>
        <w:t>SDG&amp;E expects to provide any updates to the CPUC in anticipation of CPUC action at its September 7, 2000 CPUC business meeting.</w:t>
      </w:r>
    </w:p>
    <w:p>
      <w:pPr>
        <w:pStyle w:val="Normal"/>
        <w:tabs>
          <w:tab w:val="clear" w:pos="720"/>
          <w:tab w:val="left" w:pos="1080" w:leader="none"/>
        </w:tabs>
        <w:ind w:start="1080" w:end="0"/>
        <w:rPr/>
      </w:pPr>
      <w:r>
        <w:rPr/>
      </w:r>
    </w:p>
    <w:p>
      <w:pPr>
        <w:pStyle w:val="Normal"/>
        <w:numPr>
          <w:ilvl w:val="0"/>
          <w:numId w:val="3"/>
        </w:numPr>
        <w:tabs>
          <w:tab w:val="clear" w:pos="720"/>
          <w:tab w:val="left" w:pos="1080" w:leader="none"/>
        </w:tabs>
        <w:ind w:hanging="360" w:start="1080" w:end="0"/>
        <w:rPr/>
      </w:pPr>
      <w:r>
        <w:rPr/>
        <w:t xml:space="preserve">Subject to CPUC approval, or other CPUC action, as SDG&amp;E in its sole judgment deems appropriate, SDG&amp;E will enter into agreements with winning bidders within two (2) calendar days of such CPUC action. </w:t>
      </w:r>
    </w:p>
    <w:p>
      <w:pPr>
        <w:pStyle w:val="Normal"/>
        <w:rPr/>
      </w:pPr>
      <w:r>
        <w:rPr/>
      </w:r>
    </w:p>
    <w:p>
      <w:pPr>
        <w:pStyle w:val="Header"/>
        <w:tabs>
          <w:tab w:val="clear" w:pos="4320"/>
          <w:tab w:val="clear" w:pos="8640"/>
        </w:tabs>
        <w:rPr/>
      </w:pPr>
      <w:r>
        <w:rPr/>
      </w:r>
    </w:p>
    <w:p>
      <w:pPr>
        <w:pStyle w:val="Normal"/>
        <w:numPr>
          <w:ilvl w:val="0"/>
          <w:numId w:val="3"/>
        </w:numPr>
        <w:tabs>
          <w:tab w:val="clear" w:pos="720"/>
          <w:tab w:val="left" w:pos="1080" w:leader="none"/>
        </w:tabs>
        <w:ind w:hanging="360" w:start="1080" w:end="0"/>
        <w:rPr/>
      </w:pPr>
      <w:r>
        <w:rPr/>
        <w:t>The Start Date, shall be agreed upon by SDG&amp;E and the winning Bidder, provided, however, the Start Date for the remainder of the year 2000 shall be no later than two calendar days after the date on which the agreement is executed.</w:t>
      </w:r>
    </w:p>
    <w:p>
      <w:pPr>
        <w:pStyle w:val="Normal"/>
        <w:rPr/>
      </w:pPr>
      <w:r>
        <w:rPr/>
      </w:r>
    </w:p>
    <w:p>
      <w:pPr>
        <w:pStyle w:val="Normal"/>
        <w:rPr/>
      </w:pPr>
      <w:r>
        <w:rPr/>
        <w:t>The schedule above is subject to change and, as more fully set forth below, SDG&amp;E makes no representation by this schedule that it will enter into any agreements as a result of this process.</w:t>
      </w:r>
    </w:p>
    <w:p>
      <w:pPr>
        <w:pStyle w:val="Normal"/>
        <w:rPr/>
      </w:pPr>
      <w:r>
        <w:rPr/>
      </w:r>
    </w:p>
    <w:p>
      <w:pPr>
        <w:pStyle w:val="BodyText"/>
        <w:rPr>
          <w:sz w:val="24"/>
        </w:rPr>
      </w:pPr>
      <w:r>
        <w:rPr>
          <w:sz w:val="24"/>
        </w:rPr>
        <w:t xml:space="preserve">Bidders agree that the content of their Offer(s) shall remain confidential and that neither the Bidder nor SDG&amp;E will disclose the content of that proposal without the consent of the other; provided, however, notwithstanding the forgoing, by submitting an Offer, bidders agree that SDG&amp;E may submit the bidder’s Offer(s) to the CPUC provided that SDG&amp;E requests confidential treatment for such submission. If either Party is compelled by court order, the California Public Utilities Commission, the Federal Energy Regulatory Commission, or other regulatory agency or regulatory requirement or other legal process, binding on such Party, to disclose such confidential information, such Party shall provide advance written notice to the other Party and, at the expense of the other Party, shall cooperate fully in allowing such Party to obtain a protective order or other means of protecting its interests.   </w:t>
      </w:r>
    </w:p>
    <w:p>
      <w:pPr>
        <w:pStyle w:val="Normal"/>
        <w:rPr>
          <w:sz w:val="24"/>
        </w:rPr>
      </w:pPr>
      <w:r>
        <w:rPr>
          <w:sz w:val="24"/>
        </w:rPr>
      </w:r>
    </w:p>
    <w:p>
      <w:pPr>
        <w:pStyle w:val="Normal"/>
        <w:rPr/>
      </w:pPr>
      <w:r>
        <w:rPr/>
        <w:t>By submitting a bid in response to this RFP, the Bidder acknowledges and agrees that:  (1) its bid or bids constitute an “Offer” that shall remain irrevocable until 2:00 P.M. Pacific Time on September 9, 2000 and shall remain open after that time unless and until revoked by Bidder in writing to SDG&amp;E; (2) SDG&amp;E may accept the Offer by providing Bidder notice of acceptance in writing delivered via overnight courier, the U.S. mail, facsimile, or electronic mail, provided, however, SDG&amp;E’s acceptance is subject to the execution and delivery of a WSPP Agreement and confirmation agreement between SDG&amp;E and Bidder respecting the Offer(s); (3) Bidder hereby confirms that should this Offer be acceptable to SDG&amp;E, and SDG&amp;E delivers notice of such acceptance to Bidder, Bidder will be obligated to promptly execute and deliver a WSPP Agreement and confirmation agreement ; (4) SDG&amp;E has, or will have, no obligations unless and until such a WSPP Agreement and confirmation agreement are executed and delivered by SDG&amp;E to Bidder; (5) as of the date of its Offer and throughout the period during which the Offer remains open, all information, statements, representations, and warranties made or provided by Bidder in its Offer are accurate and true to the best of Bidder’s knowledge; (6) SDG&amp;E will rely on the terms of this Offer in considering the Bidder’s Offer; and (7) Bidder has or will have the transmission necessary to effect delivery of the power set forth in its bid.</w:t>
      </w:r>
    </w:p>
    <w:p>
      <w:pPr>
        <w:pStyle w:val="Normal"/>
        <w:rPr/>
      </w:pPr>
      <w:r>
        <w:rPr/>
      </w:r>
    </w:p>
    <w:p>
      <w:pPr>
        <w:pStyle w:val="Normal"/>
        <w:rPr/>
      </w:pPr>
      <w:r>
        <w:rPr/>
        <w:t>Any transaction concerning the subject matter hereof is subject to, among other things, the</w:t>
      </w:r>
      <w:bookmarkStart w:id="0" w:name="OP4_R30Wd18F"/>
      <w:bookmarkStart w:id="1" w:name="S90"/>
      <w:bookmarkEnd w:id="1"/>
      <w:r>
        <w:rPr/>
        <w:t xml:space="preserve"> approv</w:t>
      </w:r>
      <w:bookmarkStart w:id="2" w:name="OP4_dTKMe1aF"/>
      <w:bookmarkStart w:id="3" w:name="S91_aloof"/>
      <w:bookmarkEnd w:id="0"/>
      <w:bookmarkEnd w:id="3"/>
      <w:r>
        <w:rPr/>
        <w:t>al of</w:t>
      </w:r>
      <w:bookmarkEnd w:id="2"/>
      <w:r>
        <w:rPr/>
        <w:t xml:space="preserve"> SDG&amp;E and, if necessary, its board of directors, the execution of a WSPP Agreement and confirmation agreement, and any and all necessary regulatory </w:t>
      </w:r>
      <w:bookmarkStart w:id="4" w:name="S93_it"/>
      <w:bookmarkStart w:id="5" w:name="S92"/>
      <w:bookmarkEnd w:id="4"/>
      <w:bookmarkEnd w:id="5"/>
      <w:r>
        <w:rPr/>
        <w:t>approvals, including the</w:t>
      </w:r>
      <w:bookmarkStart w:id="6" w:name="S98_it"/>
      <w:bookmarkEnd w:id="6"/>
      <w:r>
        <w:rPr/>
        <w:t xml:space="preserve"> California Public Utilities Commission and the Federal Energy Regulatory Commission.</w:t>
      </w:r>
    </w:p>
    <w:p>
      <w:pPr>
        <w:pStyle w:val="Normal"/>
        <w:rPr/>
      </w:pPr>
      <w:r>
        <w:rPr/>
      </w:r>
    </w:p>
    <w:p>
      <w:pPr>
        <w:pStyle w:val="Normal"/>
        <w:rPr/>
      </w:pPr>
      <w:r>
        <w:rPr/>
      </w:r>
    </w:p>
    <w:p>
      <w:pPr>
        <w:pStyle w:val="Normal"/>
        <w:rPr/>
      </w:pPr>
      <w:r>
        <w:rPr/>
        <w:t xml:space="preserve">The WSPP Agreement will be used as the underlying contract.  Consideration of the proposals and consummation of the transaction are subject to the Bidder providing satisfactory credit (e.g., Letters of Credit, corporate performance guarantees).  If, as determined in SDG&amp;E’s sole discretion, SDG&amp;E receives more bids than required for each product at equivalent prices, SDG&amp;E will apply a non-discriminatory tiebreaker that may include a lottery or pro rata allocation or such other mechanism as SDG&amp;E, in its sole discretion, deems appropriate.  Bidder should indicate in its Offer whether it would </w:t>
      </w:r>
      <w:r>
        <w:rPr>
          <w:u w:val="single"/>
        </w:rPr>
        <w:t>not</w:t>
      </w:r>
      <w:r>
        <w:rPr/>
        <w:t xml:space="preserve"> agree to a pro-rata reduction of its original offer.  SDG&amp;E will interpret a Bidder’s failure to indicate their willingness to accept a pro rata reduction as an indication that the bidder </w:t>
      </w:r>
      <w:r>
        <w:rPr>
          <w:u w:val="single"/>
        </w:rPr>
        <w:t>will</w:t>
      </w:r>
      <w:r>
        <w:rPr/>
        <w:t xml:space="preserve"> accept a pro rata reduction.</w:t>
      </w:r>
    </w:p>
    <w:p>
      <w:pPr>
        <w:pStyle w:val="Normal"/>
        <w:rPr/>
      </w:pPr>
      <w:r>
        <w:rPr/>
      </w:r>
    </w:p>
    <w:p>
      <w:pPr>
        <w:pStyle w:val="Normal"/>
        <w:rPr/>
      </w:pPr>
      <w:r>
        <w:rPr/>
      </w:r>
    </w:p>
    <w:p>
      <w:pPr>
        <w:pStyle w:val="BodyText2"/>
        <w:rPr/>
      </w:pPr>
      <w:r>
        <w:rPr/>
        <w:t xml:space="preserve">SDG&amp;E RESERVES THE RIGHT AT ANY TIME, IN ITS SOLE DISCRETION, TO ABANDON THIS BIDDING PROCESS, TO CHANGE THE BASIS FOR EVALUATION OF BIDS, TO TERMINATE FURTHER PARTICIPATION IN THIS PROCESS BY ANY PARTY, TO ACCEPT ANY PROPOSAL OR TO ENTER INTO ANY DEFINITIVE AGREEMENT, TO EVALUATE THE QUALIFICATIONS OF ANY BIDDER OR THE </w:t>
      </w:r>
      <w:bookmarkStart w:id="7" w:name="OP3_01sOmkiY"/>
      <w:bookmarkStart w:id="8" w:name="S67_tendons_tenons_tenpins_teens_terns"/>
      <w:bookmarkEnd w:id="8"/>
      <w:r>
        <w:rPr/>
        <w:t xml:space="preserve">TERMS </w:t>
      </w:r>
      <w:bookmarkEnd w:id="7"/>
      <w:r>
        <w:rPr/>
        <w:t xml:space="preserve">AND CONDITIONS OF ANY PROPOSAL, AND TO REJECT ANY OR ALL PROPOSALS OR BIDS, ALL WITHOUT NOTICE AND WITHOUT ASSIGNING ANY REASONS AND </w:t>
      </w:r>
      <w:bookmarkStart w:id="9" w:name="OP3_L4P8lmh0"/>
      <w:bookmarkStart w:id="10" w:name="S68_without_Without"/>
      <w:bookmarkEnd w:id="10"/>
      <w:r>
        <w:rPr/>
        <w:t xml:space="preserve">WITHOUT </w:t>
      </w:r>
      <w:bookmarkStart w:id="11" w:name="OP3_e3WXnmj0"/>
      <w:bookmarkStart w:id="12" w:name="S69_Habitat_habitat"/>
      <w:bookmarkEnd w:id="9"/>
      <w:bookmarkEnd w:id="12"/>
      <w:r>
        <w:rPr/>
        <w:t>LIABILITY</w:t>
      </w:r>
      <w:bookmarkStart w:id="13" w:name="OP3_AcFVwnq0"/>
      <w:bookmarkStart w:id="14" w:name="S71_a"/>
      <w:bookmarkStart w:id="15" w:name="S70_a"/>
      <w:bookmarkEnd w:id="11"/>
      <w:bookmarkEnd w:id="14"/>
      <w:bookmarkEnd w:id="15"/>
      <w:r>
        <w:rPr/>
        <w:t xml:space="preserve"> OF SEMPRA ENERGY, SDG&amp;E </w:t>
      </w:r>
      <w:bookmarkEnd w:id="13"/>
      <w:r>
        <w:rPr/>
        <w:t xml:space="preserve">OR ANY OF </w:t>
      </w:r>
      <w:bookmarkStart w:id="16" w:name="OP3_l1y3cng1"/>
      <w:bookmarkStart w:id="17" w:name="S72"/>
      <w:bookmarkEnd w:id="17"/>
      <w:r>
        <w:rPr/>
        <w:t>THEIR SUBSIDIARIES, AFFILIATES OR REPRESENTATIVES TO ANY BIDDER</w:t>
      </w:r>
      <w:bookmarkStart w:id="18" w:name="OP3_w3Zldoc2"/>
      <w:bookmarkStart w:id="19" w:name="S73"/>
      <w:bookmarkEnd w:id="16"/>
      <w:bookmarkEnd w:id="19"/>
      <w:r>
        <w:rPr/>
        <w:t xml:space="preserve">.  SDG&amp;E SHALL </w:t>
      </w:r>
      <w:bookmarkEnd w:id="18"/>
      <w:r>
        <w:rPr/>
        <w:t>HAVE NO OBLIGATION TO CONSIDER ANY PROPOSAL</w:t>
      </w:r>
      <w:bookmarkStart w:id="20" w:name="OP3_jivcdqc3"/>
      <w:bookmarkStart w:id="21" w:name="S74"/>
      <w:bookmarkEnd w:id="21"/>
      <w:r>
        <w:rPr/>
        <w:t xml:space="preserve">.  SDG&amp;E WILL </w:t>
      </w:r>
      <w:bookmarkEnd w:id="20"/>
      <w:r>
        <w:rPr/>
        <w:t>NOT REIMBURSE BIDDERS FOR THEIR EXPENSES UNDER ANY CIRCUMSTANCES, REGARDLESS OF WHETHER THE BIDDING PROCESS PROCEEDS TO A SUCCESSFUL CONCLUSION OR IS ABANDONED.</w:t>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San Diego Gas &amp; Electric Company RFP</w:t>
    </w:r>
  </w:p>
  <w:p>
    <w:pPr>
      <w:pStyle w:val="Header"/>
      <w:rPr>
        <w:b/>
      </w:rPr>
    </w:pPr>
    <w:r>
      <w:rPr>
        <w:b/>
      </w:rPr>
      <w:t>August 22, 2000</w:t>
    </w:r>
  </w:p>
  <w:p>
    <w:pPr>
      <w:pStyle w:val="Header"/>
      <w:rPr>
        <w:b/>
      </w:rPr>
    </w:pPr>
    <w:r>
      <w:rPr>
        <w:b/>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sz w:val="22"/>
      <w:u w:val="single"/>
    </w:rPr>
  </w:style>
  <w:style w:type="paragraph" w:styleId="Heading3">
    <w:name w:val="heading 3"/>
    <w:basedOn w:val="Normal"/>
    <w:next w:val="Normal"/>
    <w:qFormat/>
    <w:pPr>
      <w:keepNext w:val="true"/>
      <w:numPr>
        <w:ilvl w:val="2"/>
        <w:numId w:val="1"/>
      </w:numPr>
      <w:outlineLvl w:val="2"/>
    </w:pPr>
    <w:rPr>
      <w:b/>
      <w:u w:val="single"/>
    </w:rPr>
  </w:style>
  <w:style w:type="character" w:styleId="WW8Num1z0">
    <w:name w:val="WW8Num1z0"/>
    <w:qFormat/>
    <w:rPr/>
  </w:style>
  <w:style w:type="character" w:styleId="WW8Num2z1">
    <w:name w:val="WW8Num2z1"/>
    <w:qFormat/>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sz w:val="28"/>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sz w:val="22"/>
    </w:rPr>
  </w:style>
  <w:style w:type="paragraph" w:styleId="BodyTextIndent">
    <w:name w:val="Body Text Indent"/>
    <w:basedOn w:val="Normal"/>
    <w:pPr>
      <w:ind w:hanging="0" w:start="36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farrelly@sdg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2000-08-22T22:52:00Z</dcterms:created>
  <dc:creator>Terry Farrelly</dc:creator>
  <dc:description/>
  <dc:language>en-CA</dc:language>
  <cp:lastModifiedBy>SEMPRA ENERGY</cp:lastModifiedBy>
  <cp:lastPrinted>2000-08-22T16:17:00Z</cp:lastPrinted>
  <dcterms:modified xsi:type="dcterms:W3CDTF">2000-08-22T22:52:00Z</dcterms:modified>
  <cp:revision>2</cp:revision>
  <dc:subject/>
  <dc:title>Draft</dc:title>
</cp:coreProperties>
</file>