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Heading2"/>
        <w:ind w:hanging="0" w:start="0"/>
        <w:rPr>
          <w:sz w:val="24"/>
        </w:rPr>
      </w:pPr>
      <w:r>
        <w:rPr>
          <w:sz w:val="24"/>
        </w:rPr>
        <w:t>VIA FEDEX</w:t>
      </w:r>
    </w:p>
    <w:p>
      <w:pPr>
        <w:pStyle w:val="Normal"/>
        <w:rPr>
          <w:sz w:val="24"/>
        </w:rPr>
      </w:pPr>
      <w:r>
        <w:rPr>
          <w:sz w:val="24"/>
        </w:rPr>
      </w:r>
    </w:p>
    <w:p>
      <w:pPr>
        <w:pStyle w:val="Normal"/>
        <w:rPr/>
      </w:pPr>
      <w:r>
        <w:rPr/>
      </w:r>
    </w:p>
    <w:p>
      <w:pPr>
        <w:pStyle w:val="Normal"/>
        <w:rPr/>
      </w:pPr>
      <w:r>
        <w:rPr/>
        <w:t>March 1, 2000</w:t>
        <w:tab/>
        <w:tab/>
        <w:tab/>
        <w:tab/>
        <w:tab/>
        <w:tab/>
        <w:tab/>
        <w:tab/>
        <w:tab/>
      </w:r>
    </w:p>
    <w:p>
      <w:pPr>
        <w:pStyle w:val="Normal"/>
        <w:rPr/>
      </w:pPr>
      <w:r>
        <w:rPr/>
        <w:t>Mr. Friendly Banker</w:t>
      </w:r>
    </w:p>
    <w:p>
      <w:pPr>
        <w:pStyle w:val="Normal"/>
        <w:rPr/>
      </w:pPr>
      <w:r>
        <w:rPr/>
        <w:t>Moneybags Bank</w:t>
      </w:r>
    </w:p>
    <w:p>
      <w:pPr>
        <w:pStyle w:val="Normal"/>
        <w:rPr/>
      </w:pPr>
      <w:r>
        <w:rPr/>
        <w:t>1234 Libor Lane</w:t>
      </w:r>
    </w:p>
    <w:p>
      <w:pPr>
        <w:pStyle w:val="Normal"/>
        <w:rPr/>
      </w:pPr>
      <w:r>
        <w:rPr/>
        <w:t>Debenture, TX 10285</w:t>
      </w:r>
    </w:p>
    <w:p>
      <w:pPr>
        <w:pStyle w:val="Normal"/>
        <w:rPr/>
      </w:pPr>
      <w:r>
        <w:rPr/>
      </w:r>
    </w:p>
    <w:p>
      <w:pPr>
        <w:pStyle w:val="Normal"/>
        <w:rPr/>
      </w:pPr>
      <w:r>
        <w:rPr/>
        <w:t xml:space="preserve">RE:  Request for Proposal – Northern Border Partners, L.P. </w:t>
      </w:r>
    </w:p>
    <w:p>
      <w:pPr>
        <w:pStyle w:val="Normal"/>
        <w:rPr/>
      </w:pPr>
      <w:r>
        <w:rPr/>
      </w:r>
    </w:p>
    <w:p>
      <w:pPr>
        <w:pStyle w:val="Normal"/>
        <w:rPr/>
      </w:pPr>
      <w:r>
        <w:rPr/>
        <w:t>Dear Friendly:</w:t>
      </w:r>
    </w:p>
    <w:p>
      <w:pPr>
        <w:pStyle w:val="Normal"/>
        <w:rPr/>
      </w:pPr>
      <w:r>
        <w:rPr/>
      </w:r>
    </w:p>
    <w:p>
      <w:pPr>
        <w:pStyle w:val="Normal"/>
        <w:rPr/>
      </w:pPr>
      <w:r>
        <w:rPr/>
        <w:t>Northern Border Partners, L.P. (the “Partnership”) hereby invites you to submit your proposal(s) to serve as lead manager/agent for: i) a $150 million term debt offering; and/or ii) a $150 revolving credit facility.  Proceeds from the term debt offering will be used primarily to repay outstanding debt under two existing bank credit facilities.  The revolving credit facility will be used for funding future equity contributions into existing Partnership assets, financing new acquisition or investment opportunities pursued by the Partnership, and general business purposes.</w:t>
      </w:r>
    </w:p>
    <w:p>
      <w:pPr>
        <w:pStyle w:val="Normal"/>
        <w:rPr/>
      </w:pPr>
      <w:r>
        <w:rPr/>
        <w:t xml:space="preserve"> </w:t>
      </w:r>
    </w:p>
    <w:p>
      <w:pPr>
        <w:pStyle w:val="BodyText"/>
        <w:rPr>
          <w:sz w:val="24"/>
        </w:rPr>
      </w:pPr>
      <w:r>
        <w:rPr>
          <w:sz w:val="24"/>
        </w:rPr>
        <w:t xml:space="preserve">If your institution wishes to seek the lead role for both transactions, the Partnership requests that you submit separate proposals along with your analysis of the expected benefits to the Partnership if a single lead is chosen.  Similarly, if you choose to focus on a single transaction, please discuss the merits of different institutions serving as leads.  </w:t>
      </w:r>
    </w:p>
    <w:p>
      <w:pPr>
        <w:pStyle w:val="BodyText"/>
        <w:rPr>
          <w:sz w:val="24"/>
        </w:rPr>
      </w:pPr>
      <w:r>
        <w:rPr>
          <w:sz w:val="24"/>
        </w:rPr>
      </w:r>
    </w:p>
    <w:p>
      <w:pPr>
        <w:pStyle w:val="BodyText"/>
        <w:rPr>
          <w:sz w:val="24"/>
        </w:rPr>
      </w:pPr>
      <w:r>
        <w:rPr>
          <w:sz w:val="24"/>
        </w:rPr>
        <w:t xml:space="preserve">Regarding the term debt transaction, the Partnership has a $200 million Universal Shelf on file with the SEC under which no securities have been issued to date.  However, given the recent volatility in the capital markets and the proposed issuance size, the Partnership has not determined the appropriate market in which to issue term debt (i.e. public or private).  Therefore, your proposal should clearly delineate your recommendation and underlying support for the market wherein the Partnership will achieve the best overall transaction, taking into account factors such as pricing, covenant package, distribution and execution risks. </w:t>
      </w:r>
    </w:p>
    <w:p>
      <w:pPr>
        <w:pStyle w:val="BodyText"/>
        <w:rPr>
          <w:sz w:val="24"/>
        </w:rPr>
      </w:pPr>
      <w:r>
        <w:rPr>
          <w:sz w:val="24"/>
        </w:rPr>
      </w:r>
    </w:p>
    <w:p>
      <w:pPr>
        <w:pStyle w:val="BodyText"/>
        <w:rPr>
          <w:sz w:val="24"/>
        </w:rPr>
      </w:pPr>
      <w:r>
        <w:rPr>
          <w:sz w:val="24"/>
        </w:rPr>
        <w:t xml:space="preserve">Also, please be aware that the Partnership will give greater weight to those institutions that plan to participate in the revolving credit facility in evaluating the proposals to lead the term debt transaction. </w:t>
      </w:r>
    </w:p>
    <w:p>
      <w:pPr>
        <w:pStyle w:val="Normal"/>
        <w:spacing w:before="0" w:after="60"/>
        <w:rPr>
          <w:sz w:val="24"/>
        </w:rPr>
      </w:pPr>
      <w:r>
        <w:rPr>
          <w:sz w:val="24"/>
        </w:rPr>
      </w:r>
      <w:r>
        <w:br w:type="page"/>
      </w:r>
    </w:p>
    <w:p>
      <w:pPr>
        <w:pStyle w:val="Normal"/>
        <w:spacing w:before="0" w:after="60"/>
        <w:rPr/>
      </w:pPr>
      <w:r>
        <w:rPr/>
      </w:r>
    </w:p>
    <w:p>
      <w:pPr>
        <w:pStyle w:val="Normal"/>
        <w:spacing w:before="0" w:after="60"/>
        <w:rPr/>
      </w:pPr>
      <w:r>
        <w:rPr/>
      </w:r>
    </w:p>
    <w:p>
      <w:pPr>
        <w:pStyle w:val="Normal"/>
        <w:spacing w:before="0" w:after="60"/>
        <w:rPr/>
      </w:pPr>
      <w:r>
        <w:rPr/>
        <w:t>Northern Border Partners, L.P.</w:t>
      </w:r>
    </w:p>
    <w:p>
      <w:pPr>
        <w:pStyle w:val="Normal"/>
        <w:spacing w:before="0" w:after="60"/>
        <w:rPr/>
      </w:pPr>
      <w:r>
        <w:rPr/>
        <w:t>Request for Proposal – March 1, 2000</w:t>
      </w:r>
    </w:p>
    <w:p>
      <w:pPr>
        <w:pStyle w:val="Normal"/>
        <w:spacing w:before="0" w:after="60"/>
        <w:rPr/>
      </w:pPr>
      <w:r>
        <w:rPr/>
        <w:t>Page 2</w:t>
      </w:r>
    </w:p>
    <w:p>
      <w:pPr>
        <w:pStyle w:val="Normal"/>
        <w:spacing w:before="0" w:after="60"/>
        <w:rPr/>
      </w:pPr>
      <w:r>
        <w:rPr/>
      </w:r>
    </w:p>
    <w:p>
      <w:pPr>
        <w:pStyle w:val="Normal"/>
        <w:spacing w:before="0" w:after="60"/>
        <w:rPr/>
      </w:pPr>
      <w:r>
        <w:rPr/>
      </w:r>
    </w:p>
    <w:p>
      <w:pPr>
        <w:pStyle w:val="Normal"/>
        <w:spacing w:before="0" w:after="60"/>
        <w:rPr/>
      </w:pPr>
      <w:r>
        <w:rPr/>
        <w:t xml:space="preserve">To assist you in formulating your proposal(s), enclosed are a list of assumptions/considerations for the transactions and long-term financial projections for the Partnership and Northern Border Pipeline.  </w:t>
      </w:r>
      <w:r>
        <w:rPr>
          <w:b/>
        </w:rPr>
        <w:t xml:space="preserve">The Partnership expects to select the leads from the written proposals, so follow-up presentations are not anticipated at this time.  Please deliver six (6) copies of your proposals no later than </w:t>
      </w:r>
      <w:r>
        <w:rPr>
          <w:b/>
          <w:u w:val="single"/>
        </w:rPr>
        <w:t>Monday, March 20, 2000</w:t>
      </w:r>
      <w:r>
        <w:rPr>
          <w:b/>
        </w:rPr>
        <w:t>, to:</w:t>
      </w:r>
    </w:p>
    <w:p>
      <w:pPr>
        <w:pStyle w:val="Normal"/>
        <w:spacing w:before="0" w:after="60"/>
        <w:ind w:start="3600" w:end="0"/>
        <w:rPr>
          <w:b/>
        </w:rPr>
      </w:pPr>
      <w:r>
        <w:rPr>
          <w:b/>
        </w:rPr>
      </w:r>
    </w:p>
    <w:p>
      <w:pPr>
        <w:pStyle w:val="Normal"/>
        <w:spacing w:before="0" w:after="60"/>
        <w:ind w:start="3600" w:end="0"/>
        <w:rPr/>
      </w:pPr>
      <w:r>
        <w:rPr/>
        <w:t>Northern Border Partners, L.P.</w:t>
      </w:r>
    </w:p>
    <w:p>
      <w:pPr>
        <w:pStyle w:val="Normal"/>
        <w:spacing w:before="0" w:after="60"/>
        <w:ind w:start="3600" w:end="0"/>
        <w:rPr/>
      </w:pPr>
      <w:r>
        <w:rPr/>
        <w:t>ATTN: John Jesse</w:t>
      </w:r>
    </w:p>
    <w:p>
      <w:pPr>
        <w:pStyle w:val="Normal"/>
        <w:spacing w:before="0" w:after="60"/>
        <w:ind w:start="3600" w:end="0"/>
        <w:rPr/>
      </w:pPr>
      <w:r>
        <w:rPr/>
        <w:t>1111 South 103</w:t>
      </w:r>
      <w:r>
        <w:rPr>
          <w:vertAlign w:val="superscript"/>
        </w:rPr>
        <w:t>rd</w:t>
      </w:r>
      <w:r>
        <w:rPr/>
        <w:t xml:space="preserve"> Street</w:t>
      </w:r>
    </w:p>
    <w:p>
      <w:pPr>
        <w:pStyle w:val="Normal"/>
        <w:spacing w:before="0" w:after="60"/>
        <w:ind w:start="3600" w:end="0"/>
        <w:rPr/>
      </w:pPr>
      <w:r>
        <w:rPr/>
        <w:t>Omaha, NE  68124-1000</w:t>
      </w:r>
    </w:p>
    <w:p>
      <w:pPr>
        <w:pStyle w:val="Normal"/>
        <w:spacing w:before="0" w:after="60"/>
        <w:rPr/>
      </w:pPr>
      <w:r>
        <w:rPr/>
      </w:r>
    </w:p>
    <w:p>
      <w:pPr>
        <w:pStyle w:val="Normal"/>
        <w:spacing w:before="0" w:after="60"/>
        <w:rPr/>
      </w:pPr>
      <w:r>
        <w:rPr/>
        <w:t>Please call John at (402) 398-7843 or Cheryl Perchal at (402) 398-7257 with any questions you may have.</w:t>
      </w:r>
    </w:p>
    <w:p>
      <w:pPr>
        <w:pStyle w:val="Normal"/>
        <w:spacing w:before="0" w:after="60"/>
        <w:rPr/>
      </w:pPr>
      <w:r>
        <w:rPr/>
      </w:r>
    </w:p>
    <w:p>
      <w:pPr>
        <w:pStyle w:val="Normal"/>
        <w:spacing w:before="0" w:after="60"/>
        <w:rPr/>
      </w:pPr>
      <w:r>
        <w:rPr/>
        <w:t>Sincerely</w:t>
      </w:r>
    </w:p>
    <w:p>
      <w:pPr>
        <w:pStyle w:val="Normal"/>
        <w:spacing w:before="0" w:after="60"/>
        <w:rPr/>
      </w:pPr>
      <w:r>
        <w:rPr/>
      </w:r>
    </w:p>
    <w:p>
      <w:pPr>
        <w:pStyle w:val="Normal"/>
        <w:spacing w:before="0" w:after="60"/>
        <w:rPr/>
      </w:pPr>
      <w:r>
        <w:rPr/>
      </w:r>
    </w:p>
    <w:p>
      <w:pPr>
        <w:pStyle w:val="Normal"/>
        <w:spacing w:before="0" w:after="60"/>
        <w:rPr/>
      </w:pPr>
      <w:r>
        <w:rPr/>
        <w:t>Jerry L. Peters</w:t>
      </w:r>
    </w:p>
    <w:p>
      <w:pPr>
        <w:pStyle w:val="Normal"/>
        <w:spacing w:before="0" w:after="60"/>
        <w:rPr/>
      </w:pPr>
      <w:r>
        <w:rPr/>
        <w:t>Chief Financial Officer</w:t>
      </w:r>
    </w:p>
    <w:p>
      <w:pPr>
        <w:pStyle w:val="Normal"/>
        <w:spacing w:before="0" w:after="60"/>
        <w:rPr/>
      </w:pPr>
      <w:r>
        <w:rPr/>
        <w:t>Northern Border Partners, L.P.</w:t>
      </w:r>
    </w:p>
    <w:p>
      <w:pPr>
        <w:pStyle w:val="Normal"/>
        <w:spacing w:before="0" w:after="60"/>
        <w:rPr>
          <w:u w:val="single"/>
        </w:rPr>
      </w:pPr>
      <w:r>
        <w:rPr>
          <w:u w:val="single"/>
        </w:rPr>
      </w:r>
    </w:p>
    <w:p>
      <w:pPr>
        <w:pStyle w:val="BodyText"/>
        <w:rPr>
          <w:sz w:val="24"/>
        </w:rPr>
      </w:pPr>
      <w:r>
        <w:rPr>
          <w:sz w:val="24"/>
        </w:rPr>
        <w:t>Enc.</w:t>
      </w:r>
    </w:p>
    <w:p>
      <w:pPr>
        <w:pStyle w:val="Normal"/>
        <w:spacing w:before="0" w:after="60"/>
        <w:rPr>
          <w:sz w:val="24"/>
        </w:rPr>
      </w:pPr>
      <w:r>
        <w:rPr>
          <w:sz w:val="24"/>
        </w:rPr>
      </w:r>
      <w:r>
        <w:br w:type="page"/>
      </w:r>
    </w:p>
    <w:p>
      <w:pPr>
        <w:pStyle w:val="Normal"/>
        <w:spacing w:before="0" w:after="60"/>
        <w:jc w:val="center"/>
        <w:rPr>
          <w:b/>
          <w:sz w:val="28"/>
        </w:rPr>
      </w:pPr>
      <w:r>
        <w:rPr>
          <w:b/>
          <w:sz w:val="28"/>
        </w:rPr>
        <w:t>NORTHERN BORDER PARTNERS, L.P.</w:t>
      </w:r>
    </w:p>
    <w:p>
      <w:pPr>
        <w:pStyle w:val="Normal"/>
        <w:spacing w:before="0" w:after="60"/>
        <w:jc w:val="center"/>
        <w:rPr>
          <w:b/>
          <w:sz w:val="28"/>
        </w:rPr>
      </w:pPr>
      <w:r>
        <w:rPr>
          <w:b/>
          <w:sz w:val="28"/>
        </w:rPr>
        <w:t>Financing Proposal Assumptions</w:t>
      </w:r>
    </w:p>
    <w:p>
      <w:pPr>
        <w:pStyle w:val="Normal"/>
        <w:spacing w:before="0" w:after="60"/>
        <w:jc w:val="center"/>
        <w:rPr>
          <w:b/>
          <w:sz w:val="28"/>
        </w:rPr>
      </w:pPr>
      <w:r>
        <w:rPr>
          <w:b/>
          <w:sz w:val="28"/>
        </w:rPr>
        <w:t>$150 Million Term Debt Facility &amp; $150 million Revolving Credit Facility</w:t>
      </w:r>
    </w:p>
    <w:p>
      <w:pPr>
        <w:pStyle w:val="Normal"/>
        <w:spacing w:before="0" w:after="60"/>
        <w:rPr>
          <w:b/>
          <w:sz w:val="28"/>
          <w:u w:val="single"/>
        </w:rPr>
      </w:pPr>
      <w:r>
        <w:rPr>
          <w:b/>
          <w:sz w:val="28"/>
          <w:u w:val="single"/>
        </w:rPr>
      </w:r>
    </w:p>
    <w:p>
      <w:pPr>
        <w:pStyle w:val="Normal"/>
        <w:spacing w:before="0" w:after="60"/>
        <w:rPr/>
      </w:pPr>
      <w:r>
        <w:rPr/>
        <w:t>The following are assumptions/considerations to be used in the proposals:</w:t>
      </w:r>
    </w:p>
    <w:p>
      <w:pPr>
        <w:pStyle w:val="Normal"/>
        <w:spacing w:before="0" w:after="60"/>
        <w:rPr/>
      </w:pPr>
      <w:r>
        <w:rPr/>
      </w:r>
    </w:p>
    <w:p>
      <w:pPr>
        <w:pStyle w:val="Normal"/>
        <w:numPr>
          <w:ilvl w:val="0"/>
          <w:numId w:val="2"/>
        </w:numPr>
        <w:spacing w:before="0" w:after="60"/>
        <w:rPr/>
      </w:pPr>
      <w:r>
        <w:rPr/>
        <w:t>All proposals are requested to meet the following requirements:</w:t>
      </w:r>
    </w:p>
    <w:p>
      <w:pPr>
        <w:pStyle w:val="Normal"/>
        <w:numPr>
          <w:ilvl w:val="1"/>
          <w:numId w:val="2"/>
        </w:numPr>
        <w:spacing w:before="0" w:after="60"/>
        <w:rPr/>
      </w:pPr>
      <w:r>
        <w:rPr/>
        <w:t>Closing to occur no later than May 22, 2000;</w:t>
      </w:r>
    </w:p>
    <w:p>
      <w:pPr>
        <w:pStyle w:val="Normal"/>
        <w:numPr>
          <w:ilvl w:val="1"/>
          <w:numId w:val="2"/>
        </w:numPr>
        <w:spacing w:before="0" w:after="60"/>
        <w:rPr/>
      </w:pPr>
      <w:r>
        <w:rPr/>
        <w:t>No impact on nor restrictions governing the operations, including capital structure and distribution policy, of the Partnership’s current and future subsidiaries; and</w:t>
      </w:r>
    </w:p>
    <w:p>
      <w:pPr>
        <w:pStyle w:val="Normal"/>
        <w:numPr>
          <w:ilvl w:val="1"/>
          <w:numId w:val="2"/>
        </w:numPr>
        <w:spacing w:before="0" w:after="60"/>
        <w:rPr/>
      </w:pPr>
      <w:r>
        <w:rPr/>
        <w:t>Flexibility to efficiently raise additional capital for future investments/acquisitions.</w:t>
      </w:r>
    </w:p>
    <w:p>
      <w:pPr>
        <w:pStyle w:val="Normal"/>
        <w:spacing w:before="0" w:after="60"/>
        <w:rPr/>
      </w:pPr>
      <w:r>
        <w:rPr/>
      </w:r>
    </w:p>
    <w:p>
      <w:pPr>
        <w:pStyle w:val="Normal"/>
        <w:numPr>
          <w:ilvl w:val="0"/>
          <w:numId w:val="2"/>
        </w:numPr>
        <w:spacing w:before="0" w:after="60"/>
        <w:rPr/>
      </w:pPr>
      <w:r>
        <w:rPr/>
        <w:t>All proposals should include the following:</w:t>
      </w:r>
    </w:p>
    <w:p>
      <w:pPr>
        <w:pStyle w:val="Normal"/>
        <w:numPr>
          <w:ilvl w:val="1"/>
          <w:numId w:val="2"/>
        </w:numPr>
        <w:spacing w:before="0" w:after="60"/>
        <w:rPr/>
      </w:pPr>
      <w:r>
        <w:rPr/>
        <w:t>Required covenants;</w:t>
      </w:r>
    </w:p>
    <w:p>
      <w:pPr>
        <w:pStyle w:val="Normal"/>
        <w:numPr>
          <w:ilvl w:val="1"/>
          <w:numId w:val="2"/>
        </w:numPr>
        <w:spacing w:before="0" w:after="60"/>
        <w:rPr/>
      </w:pPr>
      <w:r>
        <w:rPr/>
        <w:t>Indicative pricing and detailed estimate of fees and expenses by category;</w:t>
      </w:r>
    </w:p>
    <w:p>
      <w:pPr>
        <w:pStyle w:val="Normal"/>
        <w:numPr>
          <w:ilvl w:val="1"/>
          <w:numId w:val="2"/>
        </w:numPr>
        <w:spacing w:before="0" w:after="60"/>
        <w:rPr/>
      </w:pPr>
      <w:r>
        <w:rPr/>
        <w:t>Syndication strategy and structure;</w:t>
      </w:r>
    </w:p>
    <w:p>
      <w:pPr>
        <w:pStyle w:val="Normal"/>
        <w:numPr>
          <w:ilvl w:val="1"/>
          <w:numId w:val="2"/>
        </w:numPr>
        <w:spacing w:before="0" w:after="60"/>
        <w:rPr/>
      </w:pPr>
      <w:r>
        <w:rPr/>
        <w:t>Proposed timeline for completion of the transaction; and</w:t>
      </w:r>
    </w:p>
    <w:p>
      <w:pPr>
        <w:pStyle w:val="Normal"/>
        <w:numPr>
          <w:ilvl w:val="1"/>
          <w:numId w:val="2"/>
        </w:numPr>
        <w:spacing w:before="0" w:after="60"/>
        <w:rPr/>
      </w:pPr>
      <w:r>
        <w:rPr/>
        <w:t>Identification of the institution’s team for the transaction and the function of each member.</w:t>
      </w:r>
    </w:p>
    <w:p>
      <w:pPr>
        <w:pStyle w:val="Normal"/>
        <w:spacing w:before="0" w:after="60"/>
        <w:rPr/>
      </w:pPr>
      <w:r>
        <w:rPr/>
      </w:r>
    </w:p>
    <w:p>
      <w:pPr>
        <w:pStyle w:val="Normal"/>
        <w:numPr>
          <w:ilvl w:val="0"/>
          <w:numId w:val="2"/>
        </w:numPr>
        <w:spacing w:before="0" w:after="60"/>
        <w:rPr/>
      </w:pPr>
      <w:r>
        <w:rPr/>
        <w:t xml:space="preserve">Proposals related to the </w:t>
      </w:r>
      <w:r>
        <w:rPr>
          <w:u w:val="single"/>
        </w:rPr>
        <w:t>term debt transaction</w:t>
      </w:r>
      <w:r>
        <w:rPr/>
        <w:t xml:space="preserve"> should include:</w:t>
      </w:r>
    </w:p>
    <w:p>
      <w:pPr>
        <w:pStyle w:val="Normal"/>
        <w:numPr>
          <w:ilvl w:val="1"/>
          <w:numId w:val="2"/>
        </w:numPr>
        <w:spacing w:before="0" w:after="60"/>
        <w:rPr/>
      </w:pPr>
      <w:r>
        <w:rPr/>
        <w:t>Minimum term of ten (10) years;</w:t>
      </w:r>
    </w:p>
    <w:p>
      <w:pPr>
        <w:pStyle w:val="Normal"/>
        <w:numPr>
          <w:ilvl w:val="1"/>
          <w:numId w:val="2"/>
        </w:numPr>
        <w:spacing w:before="0" w:after="60"/>
        <w:rPr/>
      </w:pPr>
      <w:r>
        <w:rPr/>
        <w:t>Specific market for issuance and underlying rationale;</w:t>
      </w:r>
    </w:p>
    <w:p>
      <w:pPr>
        <w:pStyle w:val="Normal"/>
        <w:numPr>
          <w:ilvl w:val="1"/>
          <w:numId w:val="2"/>
        </w:numPr>
        <w:spacing w:before="0" w:after="60"/>
        <w:rPr/>
      </w:pPr>
      <w:r>
        <w:rPr/>
        <w:t xml:space="preserve">Rating agency strategy and analysis of the likely rating, if applicable; </w:t>
      </w:r>
    </w:p>
    <w:p>
      <w:pPr>
        <w:pStyle w:val="Normal"/>
        <w:numPr>
          <w:ilvl w:val="1"/>
          <w:numId w:val="2"/>
        </w:numPr>
        <w:spacing w:before="0" w:after="60"/>
        <w:rPr/>
      </w:pPr>
      <w:r>
        <w:rPr/>
        <w:t xml:space="preserve">Recommendations on swapping the term debt to floating; and </w:t>
      </w:r>
    </w:p>
    <w:p>
      <w:pPr>
        <w:pStyle w:val="Normal"/>
        <w:numPr>
          <w:ilvl w:val="1"/>
          <w:numId w:val="2"/>
        </w:numPr>
        <w:spacing w:before="0" w:after="60"/>
        <w:rPr/>
      </w:pPr>
      <w:r>
        <w:rPr/>
        <w:t>Fee economics (e.g. 100% pot, etc.)</w:t>
      </w:r>
    </w:p>
    <w:p>
      <w:pPr>
        <w:pStyle w:val="Normal"/>
        <w:spacing w:before="0" w:after="60"/>
        <w:rPr/>
      </w:pPr>
      <w:r>
        <w:rPr/>
      </w:r>
    </w:p>
    <w:p>
      <w:pPr>
        <w:pStyle w:val="Normal"/>
        <w:numPr>
          <w:ilvl w:val="0"/>
          <w:numId w:val="2"/>
        </w:numPr>
        <w:spacing w:before="0" w:after="60"/>
        <w:rPr/>
      </w:pPr>
      <w:r>
        <w:rPr/>
        <w:t xml:space="preserve">Proposals related to the </w:t>
      </w:r>
      <w:r>
        <w:rPr>
          <w:u w:val="single"/>
        </w:rPr>
        <w:t>revolving credit facility</w:t>
      </w:r>
      <w:r>
        <w:rPr/>
        <w:t xml:space="preserve"> should include:</w:t>
      </w:r>
    </w:p>
    <w:p>
      <w:pPr>
        <w:pStyle w:val="Normal"/>
        <w:numPr>
          <w:ilvl w:val="1"/>
          <w:numId w:val="2"/>
        </w:numPr>
        <w:spacing w:before="0" w:after="60"/>
        <w:rPr/>
      </w:pPr>
      <w:r>
        <w:rPr/>
        <w:t xml:space="preserve">Minimum term of three (3) years; </w:t>
      </w:r>
    </w:p>
    <w:p>
      <w:pPr>
        <w:pStyle w:val="Normal"/>
        <w:numPr>
          <w:ilvl w:val="1"/>
          <w:numId w:val="2"/>
        </w:numPr>
        <w:spacing w:before="0" w:after="60"/>
        <w:rPr/>
      </w:pPr>
      <w:r>
        <w:rPr/>
        <w:t>No requirement to reduce commitment due to future issuances of equity; and</w:t>
      </w:r>
    </w:p>
    <w:p>
      <w:pPr>
        <w:pStyle w:val="Normal"/>
        <w:numPr>
          <w:ilvl w:val="1"/>
          <w:numId w:val="2"/>
        </w:numPr>
        <w:spacing w:before="0" w:after="60"/>
        <w:rPr/>
      </w:pPr>
      <w:r>
        <w:rPr/>
        <w:t>Initial and target hold levels for agent.</w:t>
      </w:r>
    </w:p>
    <w:p>
      <w:pPr>
        <w:pStyle w:val="Normal"/>
        <w:spacing w:before="0" w:after="60"/>
        <w:rPr/>
      </w:pPr>
      <w:r>
        <w:rPr/>
      </w:r>
    </w:p>
    <w:p>
      <w:pPr>
        <w:pStyle w:val="Normal"/>
        <w:numPr>
          <w:ilvl w:val="0"/>
          <w:numId w:val="2"/>
        </w:numPr>
        <w:spacing w:before="0" w:after="60"/>
        <w:rPr/>
      </w:pPr>
      <w:r>
        <w:rPr/>
        <w:t>Proposals may also include:</w:t>
      </w:r>
    </w:p>
    <w:p>
      <w:pPr>
        <w:pStyle w:val="Normal"/>
        <w:numPr>
          <w:ilvl w:val="1"/>
          <w:numId w:val="2"/>
        </w:numPr>
        <w:spacing w:before="0" w:after="60"/>
        <w:rPr/>
      </w:pPr>
      <w:r>
        <w:rPr/>
        <w:t>Recommendations on alternate financing strategies, such as callable notes or putable securities; and</w:t>
      </w:r>
    </w:p>
    <w:p>
      <w:pPr>
        <w:pStyle w:val="Normal"/>
        <w:numPr>
          <w:ilvl w:val="1"/>
          <w:numId w:val="2"/>
        </w:numPr>
        <w:spacing w:before="0" w:after="60"/>
        <w:rPr/>
      </w:pPr>
      <w:r>
        <w:rPr/>
        <w:t>Discussion of the Partnership’s current maximum debt capacity and an analysis of the most efficient capital-raising strategies for future transactions.</w:t>
      </w:r>
    </w:p>
    <w:p>
      <w:pPr>
        <w:pStyle w:val="Normal"/>
        <w:spacing w:before="0" w:after="60"/>
        <w:rPr/>
      </w:pPr>
      <w:r>
        <w:rPr/>
      </w:r>
    </w:p>
    <w:p>
      <w:pPr>
        <w:pStyle w:val="Normal"/>
        <w:numPr>
          <w:ilvl w:val="0"/>
          <w:numId w:val="2"/>
        </w:numPr>
        <w:spacing w:before="0" w:after="60"/>
        <w:rPr/>
      </w:pPr>
      <w:r>
        <w:rPr/>
        <w:t>No written or verbal proposals should be directed to our general partners.</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lvl w:ilvl="1">
      <w:start w:val="1"/>
      <w:numFmt w:val="lowerLetter"/>
      <w:lvlText w:val="%2)"/>
      <w:lvlJc w:val="start"/>
      <w:pPr>
        <w:tabs>
          <w:tab w:val="num" w:pos="720"/>
        </w:tabs>
        <w:ind w:start="720" w:hanging="360"/>
      </w:pPr>
    </w:lvl>
    <w:lvl w:ilvl="2">
      <w:start w:val="1"/>
      <w:numFmt w:val="lowerRoman"/>
      <w:lvlText w:val="%3)"/>
      <w:lvlJc w:val="start"/>
      <w:pPr>
        <w:tabs>
          <w:tab w:val="num" w:pos="1080"/>
        </w:tabs>
        <w:ind w:start="1080" w:hanging="360"/>
      </w:pPr>
    </w:lvl>
    <w:lvl w:ilvl="3">
      <w:start w:val="1"/>
      <w:numFmt w:val="decimal"/>
      <w:lvlText w:val="(%4)"/>
      <w:lvlJc w:val="start"/>
      <w:pPr>
        <w:tabs>
          <w:tab w:val="num" w:pos="1440"/>
        </w:tabs>
        <w:ind w:start="1440" w:hanging="36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0" w:after="60"/>
      <w:jc w:val="center"/>
      <w:outlineLvl w:val="0"/>
    </w:pPr>
    <w:rPr>
      <w:b/>
      <w:sz w:val="28"/>
    </w:rPr>
  </w:style>
  <w:style w:type="paragraph" w:styleId="Heading2">
    <w:name w:val="heading 2"/>
    <w:basedOn w:val="Normal"/>
    <w:next w:val="Normal"/>
    <w:qFormat/>
    <w:pPr>
      <w:keepNext w:val="true"/>
      <w:numPr>
        <w:ilvl w:val="1"/>
        <w:numId w:val="1"/>
      </w:numPr>
      <w:outlineLvl w:val="1"/>
    </w:pPr>
    <w:rPr>
      <w:b/>
      <w:sz w:val="22"/>
      <w:u w:val="single"/>
    </w:rPr>
  </w:style>
  <w:style w:type="character" w:styleId="WW8Num1z0">
    <w:name w:val="WW8Num1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60"/>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166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2000-02-23T14:24:00Z</dcterms:created>
  <dc:creator>...</dc:creator>
  <dc:description/>
  <dc:language>en-CA</dc:language>
  <cp:lastModifiedBy>John Jesse</cp:lastModifiedBy>
  <cp:lastPrinted>2000-02-24T08:33:00Z</cp:lastPrinted>
  <dcterms:modified xsi:type="dcterms:W3CDTF">2000-02-25T16:34:00Z</dcterms:modified>
  <cp:revision>15</cp:revision>
  <dc:subject/>
  <dc:title>May 7, 1999</dc:title>
</cp:coreProperties>
</file>