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INTEROFFICE MEMORANDUM</w:t>
      </w:r>
    </w:p>
    <w:p>
      <w:pPr>
        <w:pStyle w:val="Normal"/>
        <w:rPr/>
      </w:pPr>
      <w:r>
        <w:rPr/>
      </w:r>
    </w:p>
    <w:p>
      <w:pPr>
        <w:pStyle w:val="Normal"/>
        <w:rPr/>
      </w:pPr>
      <w:r>
        <w:rPr/>
        <w:t>To:</w:t>
        <w:tab/>
        <w:t>Distribution</w:t>
        <w:tab/>
        <w:tab/>
        <w:tab/>
        <w:tab/>
        <w:t>Date:</w:t>
        <w:tab/>
        <w:t>Sept. 5, 2000</w:t>
      </w:r>
    </w:p>
    <w:p>
      <w:pPr>
        <w:pStyle w:val="Normal"/>
        <w:rPr/>
      </w:pPr>
      <w:r>
        <w:rPr/>
        <w:t>From:</w:t>
        <w:tab/>
        <w:t>Rick Johnson</w:t>
        <w:tab/>
        <w:tab/>
        <w:tab/>
        <w:tab/>
        <w:t xml:space="preserve">Dept: </w:t>
        <w:tab/>
        <w:t>Office of Labor &amp; Employment Relations</w:t>
      </w:r>
    </w:p>
    <w:p>
      <w:pPr>
        <w:pStyle w:val="Normal"/>
        <w:rPr/>
      </w:pPr>
      <w:r>
        <w:rPr/>
        <w:t>________________________________________________________________________________</w:t>
      </w:r>
    </w:p>
    <w:p>
      <w:pPr>
        <w:pStyle w:val="Normal"/>
        <w:rPr/>
      </w:pPr>
      <w:r>
        <w:rPr/>
      </w:r>
    </w:p>
    <w:p>
      <w:pPr>
        <w:pStyle w:val="Normal"/>
        <w:rPr/>
      </w:pPr>
      <w:r>
        <w:rPr/>
        <w:t xml:space="preserve">RE:  Labor contact – Pleasanton / Tri Valley Project / To Project Leads - </w:t>
      </w:r>
    </w:p>
    <w:p>
      <w:pPr>
        <w:pStyle w:val="Normal"/>
        <w:rPr/>
      </w:pPr>
      <w:r>
        <w:rPr/>
      </w:r>
    </w:p>
    <w:p>
      <w:pPr>
        <w:pStyle w:val="Normal"/>
        <w:ind w:firstLine="720" w:end="0"/>
        <w:rPr/>
      </w:pPr>
      <w:r>
        <w:rPr/>
        <w:t xml:space="preserve">Thursday, August 31, I spoke with Bob Balgenorth, President, California State Building &amp; Construction Trades Council.  The call was initiated to solicit labor’s support for the legislation addressing the Williamson Act and lobbing efforts to shorten the CEC siting review period.  In the course of our conversation, Bob indicated the Labor community had learned about our proposed peaker project in Alameda County.  He suggested that Labor would be interested in talking to us about both the construction and the maintenance / turn around work for that proposed facility.  In response, I confirmed that we were in the process of selecting contractors, and that they would be under an expressed obligation to respect our labor relationships for this project.  I also indicated that Enron would not be interested in pursuing a specific Project Labor Agreement.  Our intent would be to defer labor obligations to the EPC Contractor for this project and require they be signatory to local and/or national Agreements.  Bob indicates they want to talk to Enron about the CURE / Trust and the hourly allocations as it relates to this project.  No more detailed discussions occurred, however, Labor will be watching the project siting events unfold.      </w:t>
      </w:r>
    </w:p>
    <w:p>
      <w:pPr>
        <w:pStyle w:val="Normal"/>
        <w:rPr/>
      </w:pPr>
      <w:r>
        <w:rPr/>
        <w:tab/>
        <w:t xml:space="preserve">Friday I received a voice mail from Barry Luboviski, Executive Secretary of the Alameda County Building &amp; Construction Trades Council.  He stated their interest in addressing the specific opportunities that this project represents, and ways in which Labor may assist in furthering the siting process.  He is pushing for a meeting with several of the Local Union business managers and Enron.   </w:t>
      </w:r>
    </w:p>
    <w:p>
      <w:pPr>
        <w:pStyle w:val="Normal"/>
        <w:ind w:firstLine="720" w:end="0"/>
        <w:rPr/>
      </w:pPr>
      <w:r>
        <w:rPr/>
        <w:t>In light of these developments, I would recommend we actively address our position and prepare to respond to these contacts from both the State and County Councils.  These developments will likely translate to:</w:t>
      </w:r>
    </w:p>
    <w:p>
      <w:pPr>
        <w:pStyle w:val="Normal"/>
        <w:numPr>
          <w:ilvl w:val="0"/>
          <w:numId w:val="1"/>
        </w:numPr>
        <w:rPr/>
      </w:pPr>
      <w:r>
        <w:rPr/>
        <w:t xml:space="preserve">An Enron Commitment to build the project Union / subject to the CURE allocation of twenty five cents/hour – paid by the employer (EPC Contractor)  </w:t>
      </w:r>
    </w:p>
    <w:p>
      <w:pPr>
        <w:pStyle w:val="Normal"/>
        <w:numPr>
          <w:ilvl w:val="0"/>
          <w:numId w:val="1"/>
        </w:numPr>
        <w:rPr/>
      </w:pPr>
      <w:r>
        <w:rPr/>
        <w:t>Dave has asked me to evaluate the following concept:</w:t>
      </w:r>
    </w:p>
    <w:p>
      <w:pPr>
        <w:pStyle w:val="Normal"/>
        <w:ind w:start="720" w:end="0"/>
        <w:rPr/>
      </w:pPr>
      <w:r>
        <w:rPr/>
      </w:r>
    </w:p>
    <w:p>
      <w:pPr>
        <w:pStyle w:val="Normal"/>
        <w:ind w:start="720" w:end="0"/>
        <w:rPr/>
      </w:pPr>
      <w:r>
        <w:rPr/>
        <w:t xml:space="preserve"> </w:t>
      </w:r>
      <w:r>
        <w:rPr/>
        <w:t xml:space="preserve">Enron would offer an up-front payment in exchange for labor’s non-interference and siting support.  Using a conservative man-hour estimate of the construct phase, fixed in advance, the project developer would consent to pay the Trust an amount equal to the total estimated </w:t>
      </w:r>
    </w:p>
    <w:p>
      <w:pPr>
        <w:pStyle w:val="Normal"/>
        <w:ind w:start="720" w:end="0"/>
        <w:rPr/>
      </w:pPr>
      <w:r>
        <w:rPr/>
        <w:t xml:space="preserve">man-hours </w:t>
      </w:r>
      <w:r>
        <w:rPr>
          <w:rFonts w:eastAsia="Symbol" w:cs="Symbol" w:ascii="Symbol" w:hAnsi="Symbol"/>
        </w:rPr>
        <w:sym w:font="Symbol" w:char="f0b7"/>
      </w:r>
      <w:r>
        <w:rPr/>
        <w:t xml:space="preserve"> $.25.  The merits of this approach include:</w:t>
      </w:r>
    </w:p>
    <w:p>
      <w:pPr>
        <w:pStyle w:val="Normal"/>
        <w:ind w:firstLine="720" w:start="720" w:end="0"/>
        <w:rPr/>
      </w:pPr>
      <w:r>
        <w:rPr/>
        <w:t xml:space="preserve"> </w:t>
      </w:r>
      <w:r>
        <w:rPr/>
        <w:t xml:space="preserve">Keeps the CURE allocation out of the EPC contracting obligation.  </w:t>
      </w:r>
    </w:p>
    <w:p>
      <w:pPr>
        <w:pStyle w:val="Normal"/>
        <w:ind w:start="1440" w:end="0"/>
        <w:rPr/>
      </w:pPr>
      <w:r>
        <w:rPr/>
        <w:t xml:space="preserve">The terms would require a “turning dirt” milestone to trigger payment.  </w:t>
      </w:r>
    </w:p>
    <w:p>
      <w:pPr>
        <w:pStyle w:val="Normal"/>
        <w:ind w:start="1440" w:end="0"/>
        <w:rPr/>
      </w:pPr>
      <w:r>
        <w:rPr/>
        <w:t xml:space="preserve">Payment is a fixed amount, present value calculation, linked to project progress, nothing is paid if the project is not pursued.  </w:t>
      </w:r>
    </w:p>
    <w:p>
      <w:pPr>
        <w:pStyle w:val="Normal"/>
        <w:ind w:start="1440" w:end="0"/>
        <w:rPr/>
      </w:pPr>
      <w:r>
        <w:rPr/>
        <w:t>Payment is linked to siting support from an influential project constituent.</w:t>
      </w:r>
    </w:p>
    <w:p>
      <w:pPr>
        <w:pStyle w:val="Normal"/>
        <w:ind w:start="1440" w:end="0"/>
        <w:rPr/>
      </w:pPr>
      <w:r>
        <w:rPr/>
        <w:t xml:space="preserve">Payment addresses CURE’s motives. </w:t>
      </w:r>
    </w:p>
    <w:p>
      <w:pPr>
        <w:pStyle w:val="Normal"/>
        <w:rPr/>
      </w:pPr>
      <w:r>
        <w:rPr/>
        <w:tab/>
        <w:t>I have a committed to contact both Bob Balgenorth and Barry Luboviski, in conference, no later than Wednesday 9/13/00 to discuss their issues.  Please provide me with your thoughts and perspectives on this issue as well as the hypothetical remedy.  Regards, Rj</w:t>
      </w:r>
    </w:p>
    <w:p>
      <w:pPr>
        <w:pStyle w:val="Normal"/>
        <w:rPr/>
      </w:pPr>
      <w:r>
        <w:rPr/>
      </w:r>
    </w:p>
    <w:p>
      <w:pPr>
        <w:pStyle w:val="Normal"/>
        <w:rPr/>
      </w:pPr>
      <w:r>
        <w:rPr/>
        <w:t>Distribution:</w:t>
      </w:r>
    </w:p>
    <w:p>
      <w:pPr>
        <w:pStyle w:val="Normal"/>
        <w:rPr/>
      </w:pPr>
      <w:r>
        <w:rPr/>
        <w:tab/>
        <w:t>Michelle Cash</w:t>
      </w:r>
    </w:p>
    <w:p>
      <w:pPr>
        <w:pStyle w:val="Normal"/>
        <w:rPr/>
      </w:pPr>
      <w:r>
        <w:rPr/>
        <w:tab/>
        <w:t>David Parquet</w:t>
      </w:r>
    </w:p>
    <w:p>
      <w:pPr>
        <w:pStyle w:val="Normal"/>
        <w:rPr/>
      </w:pPr>
      <w:r>
        <w:rPr/>
        <w:tab/>
        <w:t>Dean Russell</w:t>
      </w:r>
    </w:p>
    <w:p>
      <w:pPr>
        <w:pStyle w:val="Normal"/>
        <w:rPr/>
      </w:pPr>
      <w:r>
        <w:rPr/>
        <w:tab/>
        <w:t>Sam When</w:t>
      </w:r>
    </w:p>
    <w:p>
      <w:pPr>
        <w:pStyle w:val="Normal"/>
        <w:rPr/>
      </w:pPr>
      <w:r>
        <w:rPr/>
        <w:tab/>
        <w:t>Mark Fillinger</w:t>
      </w:r>
    </w:p>
    <w:p>
      <w:pPr>
        <w:pStyle w:val="Normal"/>
        <w:rPr/>
      </w:pPr>
      <w:r>
        <w:rPr/>
        <w:tab/>
        <w:t>Brian Schaffer</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2000-09-04T20:18:00Z</dcterms:created>
  <dc:creator>rjohnson</dc:creator>
  <dc:description/>
  <dc:language>en-CA</dc:language>
  <cp:lastModifiedBy>rjohnson</cp:lastModifiedBy>
  <dcterms:modified xsi:type="dcterms:W3CDTF">2000-09-05T21:34:00Z</dcterms:modified>
  <cp:revision>3</cp:revision>
  <dc:subject/>
  <dc:title>RE:  Labor contact – Pleasanton / Tri Valley Project / To Project Leads - </dc:title>
</cp:coreProperties>
</file>