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spacing w:before="400" w:after="120"/>
        <w:ind w:start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Interoffice Memo</w:t>
      </w:r>
      <w:r>
        <mc:AlternateContent>
          <mc:Choice Requires="wps">
            <w:drawing>
              <wp:anchor behindDoc="0" distT="118745" distB="118745" distL="118745" distR="118745" simplePos="0" locked="0" layoutInCell="0" allowOverlap="1" relativeHeight="2">
                <wp:simplePos x="0" y="0"/>
                <wp:positionH relativeFrom="page">
                  <wp:posOffset>4540250</wp:posOffset>
                </wp:positionH>
                <wp:positionV relativeFrom="page">
                  <wp:posOffset>640715</wp:posOffset>
                </wp:positionV>
                <wp:extent cx="2677795" cy="69850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795" cy="6985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mpanyName"/>
                              <w:rPr/>
                            </w:pPr>
                            <w:r>
                              <w:rPr/>
                              <w:t>Wright &amp; Talisman, P.C.</w:t>
                            </w:r>
                          </w:p>
                        </w:txbxContent>
                      </wps:txbx>
                      <wps:bodyPr anchor="t" lIns="114300" tIns="114300" rIns="114300" bIns="1143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10.85pt;height:55pt;mso-wrap-distance-left:9.35pt;mso-wrap-distance-right:9.35pt;mso-wrap-distance-top:9.35pt;mso-wrap-distance-bottom:9.35pt;margin-top:50.45pt;mso-position-vertical-relative:page;margin-left:357.5pt;mso-position-horizontal-relative:page">
                <v:fill opacity="0f"/>
                <v:textbox inset="0.125in,0.125in,0.125in,0.125in">
                  <w:txbxContent>
                    <w:p>
                      <w:pPr>
                        <w:pStyle w:val="CompanyName"/>
                        <w:rPr/>
                      </w:pPr>
                      <w:r>
                        <w:rPr/>
                        <w:t>Wright &amp; Talisman, P.C.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/>
        <w:t>To:</w:t>
        <w:tab/>
        <w:tab/>
        <w:t>Mike Small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>From:</w:t>
        <w:tab/>
        <w:tab/>
        <w:t>Staci Leonard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Date:</w:t>
        <w:tab/>
        <w:tab/>
      </w:r>
      <w:r>
        <w:rPr/>
        <w:fldChar w:fldCharType="begin"/>
      </w:r>
      <w:r>
        <w:rPr/>
        <w:instrText xml:space="preserve"> DATE \@"MMMM\ d', 'yyyy" </w:instrText>
      </w:r>
      <w:r>
        <w:rPr/>
        <w:fldChar w:fldCharType="separate"/>
      </w:r>
      <w:r>
        <w:rPr/>
        <w:t>September 28, 2025</w:t>
      </w:r>
      <w:r>
        <w:rPr/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ab/>
        <w:t>Revisions to the WSPP Agreement</w:t>
      </w:r>
    </w:p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following revisions were made to the WSPP Agreement: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4.7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 xml:space="preserve">Firm System Capacity/Energy Sale or Exchange Service” was changed to “Firm System Power Sale or Exchange Service.”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the first sentence “Firm capacity and/or energy transaction” has been changed to “Firm Power transactions”  and “capacity with or without associated energy” has been replaced with “Firm Power, which may include a Physically-Settled Option.”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following definitions were added:</w:t>
      </w:r>
    </w:p>
    <w:p>
      <w:pPr>
        <w:pStyle w:val="Normal"/>
        <w:rPr/>
      </w:pPr>
      <w:r>
        <w:rPr/>
        <w:t xml:space="preserve">Section 4.7a: Guarantee Agreement </w:t>
      </w:r>
    </w:p>
    <w:p>
      <w:pPr>
        <w:pStyle w:val="Normal"/>
        <w:rPr/>
      </w:pPr>
      <w:r>
        <w:rPr/>
        <w:t>Section 4.7b: Guarantor</w:t>
      </w:r>
    </w:p>
    <w:p>
      <w:pPr>
        <w:pStyle w:val="Normal"/>
        <w:rPr/>
      </w:pPr>
      <w:r>
        <w:rPr/>
        <w:t>Section 4.11a: Letter of Credit</w:t>
      </w:r>
    </w:p>
    <w:p>
      <w:pPr>
        <w:pStyle w:val="Normal"/>
        <w:rPr/>
      </w:pPr>
      <w:r>
        <w:rPr/>
        <w:t>Section 4.14a: Physically-Settled Option</w:t>
      </w:r>
    </w:p>
    <w:p>
      <w:pPr>
        <w:pStyle w:val="Normal"/>
        <w:rPr/>
      </w:pPr>
      <w:r>
        <w:rPr/>
        <w:t>Section 4.14b: Premium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4.20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>scheduled energy transaction whereby” was replaced with “scheduled energy transaction or a Physically-Settled Option which” and further in the sentence “has agreed to buy capacity and associated scheduled energy from a specified” was changed to “has agreed to buy from a specified.”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6.1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>Firm System Capacity/Energy Sale” was changed to “Firm System Power Sale.”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21.1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Added the question, should the phrase in the last sentence starting with “unless actions or claims and resulting liability" and continuing to the end of the section be deleted?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21.3(a)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“</w:t>
      </w:r>
      <w:r>
        <w:rPr/>
        <w:t>the applicable Service Schedule” was added after “Schedule 10” and before “or by the Performing Party.”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21.3(b)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new subsection (b) was added, dropping the old subsections (b) though (d) down to (c) through (e).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21.3(d)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>and covenants that it will use commercially reasonable to minimize” has been changed to “in a commercially reasonable manner to minimize.”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22.3(a)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phrase “(or NYMEX power options contracts in the case of Physically-Settled Options)” was added to the second sentence.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22.3(d)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the second sentence “and the Parties cannot otherwise resolve their differences”  was added.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27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>letter of credit” and “guarantee agreement” were capitalized.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32.3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following was added to the end of the last sentence: or are additions which are not in conflict with any provision of this Agreement.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33.3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the last sentence “WARRANTY OF FITNESS” has been changed to “WARRANTY OF MERCHANTABILITY OR FITNESS.”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34.2(a)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following was added to the beginning of the first sentence: A Party to a dispute (if binding dispute resolution is required) or all Parties to a dispute (if agreement of the Parties is required for binding dispute resolution).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final paragraph of this section is new.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37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This section is completely new.  The old sections 37 and 38 are now 38 and 39.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EXHIBIT C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Section 1(g)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Service Schedule C (C1) has been changed to Service Schedule C and Service Schedule (C2) has been deleted.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Physically-Settled Option Service Schedule B and Physically-Settled Option Service Schedule  C have been added.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1(l)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This is a new section and the previous (l) is now (m).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SERVICE SCHEDULE 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Section A-3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SCHEDULING AND DELIVERY has been changed to TERMS.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A-3.5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reference to Section 3.7 was added.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A-3.6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the first sentence “price negotiated” has been changed to “shall be mutually agreed to in advance between” and the reference is now to the new Section A-3.7.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A-3.7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first sentence has been deleted.  In the current first sentence the reference to Section A-3.9 has been changed to A-3.6.  In the fourth sentence Section C-3.6 now reads Section C-3.5.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A-3.9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A-3.8 has been split into two sections (a-3.8 and A-3.9) and in the first sentence of Section A-3.9 “defined above” has been changed to “defined in A-3.6.”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SERVICE SCHEDULE B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Section B-3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OBLIGATION AND SCHEDULING has been changed to TERMS.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B-3.5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>is a price negotiated by” has been changed to “shall be mutually agreed to in advance between” and “be subject to the rate caps specified in Section B-3.6” has also been added to the first sentence.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B-3.6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first sentence has been omitted.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B-3.11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>defined above has been changed to “defined in B-3.5.”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SERVICE SCHEDULE C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Section C-2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>Firm or Exchange Service” has been changed to “Firm Power Sale or Exchange Service.”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C-3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SCHEDULING AND DELIVERY has been changed to TERMS.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C-3.1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>Firm or Exchange Service” has been changed to “Firm Power Sale or Exchange Service.”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C-3.3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This a completely new section and the subsequent sections have been renumbered.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Section C-3.4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Same changes as in section B-3.5 with the reference being made to Section C-3.5.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Also in the second sentence “if either does not qualify” has been changed to “if Seller does not qualify.”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C-3.5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first sentence has been deleted.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reference in the first sentence to Section C-4.3 is now to Section C-3.4.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C-3.6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This is a completely new section.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C-3.7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section now references Section C-3.4 not C-4.3.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WSPP MEDIATION AND ARBITRATION PROCEDURES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Section 1.A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the first sentence “non-binding” has been added to describe the informal mediation.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second sentence is new.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the last sentence the beginning phrase “If the Parties agree” has been omitted.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1.B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>non-binding formal” has been added before “mediation.”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1.G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the second sentence “officer” has been replaced with “representative.”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II.B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the second sentence the response “must include” not “may include.”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Section II.F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last sentence is new.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  <w:t>k:\wspp\revisions to the WSPP Agreement</w:t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440" w:footer="965" w:bottom="12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keepLines/>
      <w:spacing w:lineRule="atLeast" w:line="180" w:before="600" w:after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caps/>
      <w:spacing w:val="-3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0" w:after="240"/>
      <w:ind w:hanging="720" w:start="720" w:end="0"/>
      <w:outlineLvl w:val="1"/>
    </w:pPr>
    <w:rPr>
      <w:b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0" w:after="240"/>
      <w:ind w:hanging="720" w:start="1440" w:end="0"/>
      <w:outlineLvl w:val="2"/>
    </w:pPr>
    <w:rPr>
      <w:b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0" w:after="240"/>
      <w:ind w:hanging="720" w:start="2160" w:end="0"/>
      <w:outlineLvl w:val="3"/>
    </w:pPr>
    <w:rPr>
      <w:b/>
      <w:lang w:eastAsia="en-US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0" w:after="240"/>
      <w:ind w:hanging="720" w:start="2880" w:end="0"/>
      <w:outlineLvl w:val="4"/>
    </w:pPr>
    <w:rPr>
      <w:b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0" w:after="240"/>
      <w:ind w:hanging="720" w:start="360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0" w:after="240"/>
      <w:ind w:hanging="720" w:start="432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0" w:after="240"/>
      <w:ind w:hanging="720" w:start="5040" w:end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0" w:after="240"/>
      <w:ind w:hanging="720" w:start="5760" w:end="0"/>
      <w:outlineLvl w:val="8"/>
    </w:pPr>
    <w:rPr>
      <w:b/>
    </w:rPr>
  </w:style>
  <w:style w:type="character" w:styleId="DefaultParagraphFont">
    <w:name w:val="Default Paragraph Font"/>
    <w:qFormat/>
    <w:rPr/>
  </w:style>
  <w:style w:type="character" w:styleId="LineNumber">
    <w:name w:val="line number"/>
    <w:basedOn w:val="DefaultParagraphFont"/>
    <w:rPr>
      <w:sz w:val="24"/>
    </w:rPr>
  </w:style>
  <w:style w:type="character" w:styleId="FootnoteCharacters">
    <w:name w:val="Footnote Characters"/>
    <w:basedOn w:val="DefaultParagraphFont"/>
    <w:qFormat/>
    <w:rPr>
      <w:rFonts w:ascii="Times New Roman" w:hAnsi="Times New Roman" w:cs="Times New Roman"/>
      <w:sz w:val="24"/>
      <w:vertAlign w:val="superscript"/>
    </w:rPr>
  </w:style>
  <w:style w:type="character" w:styleId="PageNumber">
    <w:name w:val="page number"/>
    <w:rPr>
      <w:rFonts w:ascii="Times New Roman" w:hAnsi="Times New Roman" w:cs="Times New Roman"/>
      <w:sz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>
      <w:spacing w:before="0" w:after="240"/>
      <w:ind w:hanging="720" w:start="720" w:end="0"/>
    </w:pPr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/>
  </w:style>
  <w:style w:type="paragraph" w:styleId="Style11">
    <w:name w:val="Style1"/>
    <w:basedOn w:val="Heading2"/>
    <w:qFormat/>
    <w:pPr>
      <w:numPr>
        <w:ilvl w:val="0"/>
        <w:numId w:val="0"/>
      </w:numPr>
      <w:ind w:hanging="720" w:start="720"/>
      <w:jc w:val="both"/>
      <w:outlineLvl w:val="9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">
    <w:name w:val="Footnote Tex"/>
    <w:basedOn w:val="Normal"/>
    <w:qFormat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0" w:after="240"/>
      <w:ind w:hanging="720" w:start="720" w:end="0"/>
    </w:pPr>
    <w:rPr>
      <w:color w:val="000000"/>
      <w:lang w:eastAsia="en-US"/>
    </w:rPr>
  </w:style>
  <w:style w:type="paragraph" w:styleId="TOC1">
    <w:name w:val="toc 1"/>
    <w:basedOn w:val="Normal"/>
    <w:next w:val="Normal"/>
    <w:pPr>
      <w:keepNext w:val="true"/>
      <w:keepLines/>
      <w:spacing w:before="0" w:after="240"/>
      <w:jc w:val="center"/>
    </w:pPr>
    <w:rPr>
      <w:b/>
      <w:caps/>
    </w:rPr>
  </w:style>
  <w:style w:type="paragraph" w:styleId="TOC2">
    <w:name w:val="toc 2"/>
    <w:basedOn w:val="Normal"/>
    <w:next w:val="Normal"/>
    <w:pPr>
      <w:keepNext w:val="true"/>
      <w:keepLines/>
      <w:spacing w:before="0" w:after="240"/>
      <w:ind w:hanging="720" w:start="720" w:end="0"/>
    </w:pPr>
    <w:rPr>
      <w:b/>
    </w:rPr>
  </w:style>
  <w:style w:type="paragraph" w:styleId="TOC3">
    <w:name w:val="toc 3"/>
    <w:basedOn w:val="Normal"/>
    <w:next w:val="Normal"/>
    <w:pPr>
      <w:keepNext w:val="true"/>
      <w:keepLines/>
      <w:spacing w:before="0" w:after="240"/>
      <w:ind w:hanging="720" w:start="1440" w:end="0"/>
    </w:pPr>
    <w:rPr>
      <w:b/>
    </w:rPr>
  </w:style>
  <w:style w:type="paragraph" w:styleId="TOC4">
    <w:name w:val="toc 4"/>
    <w:basedOn w:val="Normal"/>
    <w:next w:val="Normal"/>
    <w:pPr>
      <w:keepNext w:val="true"/>
      <w:keepLines/>
      <w:spacing w:before="0" w:after="240"/>
      <w:ind w:hanging="720" w:start="2160" w:end="0"/>
    </w:pPr>
    <w:rPr>
      <w:b/>
    </w:rPr>
  </w:style>
  <w:style w:type="paragraph" w:styleId="TOC5">
    <w:name w:val="toc 5"/>
    <w:basedOn w:val="Normal"/>
    <w:next w:val="Normal"/>
    <w:pPr>
      <w:keepNext w:val="true"/>
      <w:keepLines/>
      <w:spacing w:before="0" w:after="240"/>
      <w:ind w:hanging="720" w:start="2880" w:end="0"/>
    </w:pPr>
    <w:rPr>
      <w:b/>
    </w:rPr>
  </w:style>
  <w:style w:type="paragraph" w:styleId="TOC6">
    <w:name w:val="toc 6"/>
    <w:basedOn w:val="Normal"/>
    <w:next w:val="Normal"/>
    <w:pPr>
      <w:keepNext w:val="true"/>
      <w:keepLines/>
      <w:spacing w:before="0" w:after="240"/>
      <w:ind w:hanging="720" w:start="3600" w:end="0"/>
    </w:pPr>
    <w:rPr>
      <w:b/>
    </w:rPr>
  </w:style>
  <w:style w:type="paragraph" w:styleId="TOC7">
    <w:name w:val="toc 7"/>
    <w:basedOn w:val="Normal"/>
    <w:next w:val="Normal"/>
    <w:pPr>
      <w:keepNext w:val="true"/>
      <w:keepLines/>
      <w:spacing w:before="0" w:after="240"/>
      <w:ind w:hanging="720" w:start="4320" w:end="0"/>
    </w:pPr>
    <w:rPr>
      <w:b/>
    </w:rPr>
  </w:style>
  <w:style w:type="paragraph" w:styleId="TOC8">
    <w:name w:val="toc 8"/>
    <w:basedOn w:val="Normal"/>
    <w:next w:val="Normal"/>
    <w:pPr>
      <w:keepNext w:val="true"/>
      <w:keepLines/>
      <w:spacing w:before="0" w:after="240"/>
      <w:ind w:hanging="720" w:start="5040" w:end="0"/>
    </w:pPr>
    <w:rPr>
      <w:b/>
    </w:rPr>
  </w:style>
  <w:style w:type="paragraph" w:styleId="TOC9">
    <w:name w:val="toc 9"/>
    <w:basedOn w:val="Normal"/>
    <w:next w:val="Normal"/>
    <w:pPr>
      <w:keepNext w:val="true"/>
      <w:keepLines/>
      <w:spacing w:before="0" w:after="240"/>
      <w:ind w:hanging="720" w:start="5760" w:end="0"/>
    </w:pPr>
    <w:rPr>
      <w:b/>
    </w:rPr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NORMALDOUBLESPACED">
    <w:name w:val="NORMAL DOUBLE SPACED"/>
    <w:basedOn w:val="Normal"/>
    <w:qFormat/>
    <w:pPr>
      <w:spacing w:lineRule="auto" w:line="480"/>
    </w:pPr>
    <w:rPr/>
  </w:style>
  <w:style w:type="paragraph" w:styleId="DocumentLabel">
    <w:name w:val="Document Label"/>
    <w:basedOn w:val="Normal"/>
    <w:next w:val="Normal"/>
    <w:qFormat/>
    <w:pPr>
      <w:keepNext w:val="true"/>
      <w:keepLines/>
      <w:spacing w:lineRule="atLeast" w:line="240" w:before="400" w:after="120"/>
      <w:ind w:hanging="0" w:start="-840" w:end="0"/>
      <w:jc w:val="start"/>
    </w:pPr>
    <w:rPr>
      <w:rFonts w:ascii="Arial Black" w:hAnsi="Arial Black" w:cs="Arial Black"/>
      <w:spacing w:val="-5"/>
      <w:kern w:val="2"/>
      <w:sz w:val="96"/>
    </w:rPr>
  </w:style>
  <w:style w:type="paragraph" w:styleId="Footer">
    <w:name w:val="footer"/>
    <w:basedOn w:val="Normal"/>
    <w:pPr>
      <w:keepLines/>
      <w:tabs>
        <w:tab w:val="clear" w:pos="720"/>
        <w:tab w:val="center" w:pos="4320" w:leader="none"/>
        <w:tab w:val="right" w:pos="8640" w:leader="none"/>
      </w:tabs>
      <w:spacing w:lineRule="atLeast" w:line="180" w:before="600" w:after="0"/>
    </w:pPr>
    <w:rPr>
      <w:spacing w:val="-5"/>
    </w:rPr>
  </w:style>
  <w:style w:type="paragraph" w:styleId="CompanyName">
    <w:name w:val="Company Name"/>
    <w:basedOn w:val="Normal"/>
    <w:qFormat/>
    <w:pPr>
      <w:keepLines/>
      <w:pBdr>
        <w:top w:val="single" w:sz="6" w:space="9" w:color="000000"/>
        <w:left w:val="single" w:sz="6" w:space="9" w:color="000000"/>
        <w:bottom w:val="single" w:sz="6" w:space="9" w:color="000000"/>
        <w:right w:val="single" w:sz="6" w:space="9" w:color="000000"/>
      </w:pBdr>
      <w:shd w:fill="000000" w:val="clear"/>
      <w:spacing w:lineRule="exact" w:line="320"/>
      <w:jc w:val="start"/>
    </w:pPr>
    <w:rPr>
      <w:rFonts w:ascii="Arial Black" w:hAnsi="Arial Black" w:cs="Arial Black"/>
      <w:spacing w:val="-15"/>
      <w:position w:val="-2"/>
      <w:sz w:val="32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1999-08-11T13:18:00Z</dcterms:created>
  <dc:creator>Staci Leonard</dc:creator>
  <dc:description/>
  <dc:language>en-CA</dc:language>
  <cp:lastModifiedBy>Winnie Howard</cp:lastModifiedBy>
  <cp:lastPrinted>1999-08-11T11:48:00Z</cp:lastPrinted>
  <dcterms:modified xsi:type="dcterms:W3CDTF">1999-08-11T13:18:00Z</dcterms:modified>
  <cp:revision>2</cp:revision>
  <dc:subject/>
  <dc:title>Wright &amp; Talisman, P</dc:title>
</cp:coreProperties>
</file>