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REVISED MOU BETWEEN SCE, EIX and CDWR</w:t>
      </w:r>
    </w:p>
    <w:p>
      <w:pPr>
        <w:pStyle w:val="Normal"/>
        <w:jc w:val="center"/>
        <w:rPr>
          <w:u w:val="single"/>
        </w:rPr>
      </w:pPr>
      <w:r>
        <w:rPr>
          <w:u w:val="single"/>
        </w:rPr>
      </w:r>
    </w:p>
    <w:p>
      <w:pPr>
        <w:pStyle w:val="Normal"/>
        <w:jc w:val="center"/>
        <w:rPr>
          <w:u w:val="single"/>
        </w:rPr>
      </w:pPr>
      <w:r>
        <w:rPr>
          <w:u w:val="single"/>
        </w:rPr>
      </w:r>
    </w:p>
    <w:p>
      <w:pPr>
        <w:pStyle w:val="Normal"/>
        <w:numPr>
          <w:ilvl w:val="0"/>
          <w:numId w:val="2"/>
        </w:numPr>
        <w:rPr/>
      </w:pPr>
      <w:r>
        <w:rPr/>
        <w:t>SCE utility retained generation (URG) to be committed to cost-based ratemaking (MOU Section 3).</w:t>
      </w:r>
    </w:p>
    <w:p>
      <w:pPr>
        <w:pStyle w:val="Normal"/>
        <w:ind w:start="360" w:end="0"/>
        <w:rPr/>
      </w:pPr>
      <w:r>
        <w:rPr/>
      </w:r>
    </w:p>
    <w:p>
      <w:pPr>
        <w:pStyle w:val="Normal"/>
        <w:numPr>
          <w:ilvl w:val="0"/>
          <w:numId w:val="2"/>
        </w:numPr>
        <w:rPr/>
      </w:pPr>
      <w:r>
        <w:rPr/>
        <w:t>SCE to give CDWR 5 year option to purchase transmission system at net book value (in lieu of transmission systems sale, MOU Section 4).</w:t>
      </w:r>
    </w:p>
    <w:p>
      <w:pPr>
        <w:pStyle w:val="Normal"/>
        <w:rPr/>
      </w:pPr>
      <w:r>
        <w:rPr/>
      </w:r>
    </w:p>
    <w:p>
      <w:pPr>
        <w:pStyle w:val="Normal"/>
        <w:numPr>
          <w:ilvl w:val="0"/>
          <w:numId w:val="2"/>
        </w:numPr>
        <w:rPr/>
      </w:pPr>
      <w:r>
        <w:rPr/>
        <w:t>EIX will commit to entire output of Sunrise Project being made available under cost-based ratemaking (revision of MOU Section 5).</w:t>
      </w:r>
    </w:p>
    <w:p>
      <w:pPr>
        <w:pStyle w:val="Normal"/>
        <w:rPr/>
      </w:pPr>
      <w:r>
        <w:rPr/>
      </w:r>
    </w:p>
    <w:p>
      <w:pPr>
        <w:pStyle w:val="Normal"/>
        <w:numPr>
          <w:ilvl w:val="0"/>
          <w:numId w:val="2"/>
        </w:numPr>
        <w:rPr/>
      </w:pPr>
      <w:r>
        <w:rPr/>
        <w:t>Conservation property will be transferred in fee-simple to state (revision of MOU Section 6).</w:t>
      </w:r>
    </w:p>
    <w:p>
      <w:pPr>
        <w:pStyle w:val="Normal"/>
        <w:rPr/>
      </w:pPr>
      <w:r>
        <w:rPr/>
      </w:r>
    </w:p>
    <w:p>
      <w:pPr>
        <w:pStyle w:val="Normal"/>
        <w:numPr>
          <w:ilvl w:val="0"/>
          <w:numId w:val="2"/>
        </w:numPr>
        <w:rPr/>
      </w:pPr>
      <w:r>
        <w:rPr/>
        <w:t>SCE will relinquish all claims against State (MOU Section 7).</w:t>
      </w:r>
    </w:p>
    <w:p>
      <w:pPr>
        <w:pStyle w:val="Normal"/>
        <w:rPr/>
      </w:pPr>
      <w:r>
        <w:rPr/>
      </w:r>
    </w:p>
    <w:p>
      <w:pPr>
        <w:pStyle w:val="Normal"/>
        <w:numPr>
          <w:ilvl w:val="0"/>
          <w:numId w:val="2"/>
        </w:numPr>
        <w:rPr/>
      </w:pPr>
      <w:r>
        <w:rPr/>
        <w:t>SCE will assume procurement obligations upon determination of creditworthiness on no later than December 31, 2002, whichever is sooner (revision of MOU Section 10).</w:t>
      </w:r>
    </w:p>
    <w:p>
      <w:pPr>
        <w:pStyle w:val="Normal"/>
        <w:rPr/>
      </w:pPr>
      <w:r>
        <w:rPr/>
      </w:r>
    </w:p>
    <w:p>
      <w:pPr>
        <w:pStyle w:val="Normal"/>
        <w:numPr>
          <w:ilvl w:val="0"/>
          <w:numId w:val="2"/>
        </w:numPr>
        <w:rPr/>
      </w:pPr>
      <w:r>
        <w:rPr/>
        <w:t>No reduction of SCE’s authorized rte of return on prudent investment before Dec. 31, 200(5)? (instead of December 31, 2010 – MOU Section 11).</w:t>
      </w:r>
    </w:p>
    <w:p>
      <w:pPr>
        <w:pStyle w:val="Normal"/>
        <w:rPr/>
      </w:pPr>
      <w:r>
        <w:rPr/>
      </w:r>
    </w:p>
    <w:p>
      <w:pPr>
        <w:pStyle w:val="Normal"/>
        <w:numPr>
          <w:ilvl w:val="0"/>
          <w:numId w:val="2"/>
        </w:numPr>
        <w:rPr/>
      </w:pPr>
      <w:r>
        <w:rPr/>
        <w:t>Repeal specified provisions of deregulation law to confirm utility’s obligation to serve and invest in generation.</w:t>
      </w:r>
    </w:p>
    <w:p>
      <w:pPr>
        <w:pStyle w:val="Normal"/>
        <w:rPr/>
      </w:pPr>
      <w:r>
        <w:rPr/>
      </w:r>
    </w:p>
    <w:p>
      <w:pPr>
        <w:pStyle w:val="Normal"/>
        <w:rPr/>
      </w:pPr>
      <w:r>
        <w:rPr/>
        <w:t>NOTES:</w:t>
      </w:r>
    </w:p>
    <w:p>
      <w:pPr>
        <w:pStyle w:val="Normal"/>
        <w:rPr/>
      </w:pPr>
      <w:r>
        <w:rPr/>
      </w:r>
    </w:p>
    <w:p>
      <w:pPr>
        <w:pStyle w:val="Normal"/>
        <w:numPr>
          <w:ilvl w:val="0"/>
          <w:numId w:val="1"/>
        </w:numPr>
        <w:rPr/>
      </w:pPr>
      <w:r>
        <w:rPr/>
        <w:t>SCE estimate – subject to verification (MOU Section 9).</w:t>
      </w:r>
    </w:p>
    <w:p>
      <w:pPr>
        <w:pStyle w:val="Normal"/>
        <w:numPr>
          <w:ilvl w:val="0"/>
          <w:numId w:val="1"/>
        </w:numPr>
        <w:rPr/>
      </w:pPr>
      <w:r>
        <w:rPr/>
        <w:t>Repeal provision of current law which requires CPUC to prohibit direct access; conditions of exit to be prescribed to statute or CPUC regulation.</w:t>
      </w:r>
    </w:p>
    <w:p>
      <w:pPr>
        <w:pStyle w:val="Normal"/>
        <w:numPr>
          <w:ilvl w:val="0"/>
          <w:numId w:val="1"/>
        </w:numPr>
        <w:rPr/>
      </w:pPr>
      <w:r>
        <w:rPr/>
        <w:t>This amount to be paid into trust, with payments out of trust to be conditioned on settlement of all claims by and against generators.  Any additional funds resulting from settlement proceedings at FERC to be passed on as refunds to ratepayers.  SCE to assign to trustee its claims against generators for overcharges.</w:t>
      </w:r>
    </w:p>
    <w:p>
      <w:pPr>
        <w:pStyle w:val="Normal"/>
        <w:numPr>
          <w:ilvl w:val="0"/>
          <w:numId w:val="1"/>
        </w:numPr>
        <w:rPr/>
      </w:pPr>
      <w:r>
        <w:rPr/>
        <w:t>This amount and $700 million from securitized DRC subject to adjustment depending on result of negotiations on order at FERC regarding refunds to ratepayers.</w:t>
      </w:r>
    </w:p>
    <w:p>
      <w:pPr>
        <w:pStyle w:val="Normal"/>
        <w:numPr>
          <w:ilvl w:val="0"/>
          <w:numId w:val="1"/>
        </w:numPr>
        <w:rPr/>
      </w:pPr>
      <w:r>
        <w:rPr/>
        <w:t>See MOU Section 8; these tax refund payments to be applied to commercial paper debt.</w:t>
      </w:r>
    </w:p>
    <w:p>
      <w:pPr>
        <w:pStyle w:val="Normal"/>
        <w:numPr>
          <w:ilvl w:val="0"/>
          <w:numId w:val="1"/>
        </w:numPr>
        <w:rPr/>
      </w:pPr>
      <w:r>
        <w:rPr/>
        <w:t>Renegotiated paper to be signed by EIX as borrower or guarantor; payment NOT to be recoverable from rates. CPUC EIX Holding Company proceeding on net undercollection settled for this amount without compromising future investment obligations of holding company.</w:t>
      </w:r>
    </w:p>
    <w:p>
      <w:pPr>
        <w:pStyle w:val="Normal"/>
        <w:ind w:start="72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2001-07-11T18:17:00Z</dcterms:created>
  <dc:creator>jalamo</dc:creator>
  <dc:description/>
  <dc:language>en-CA</dc:language>
  <cp:lastModifiedBy>jalamo</cp:lastModifiedBy>
  <cp:lastPrinted>2001-07-11T13:59:00Z</cp:lastPrinted>
  <dcterms:modified xsi:type="dcterms:W3CDTF">2001-07-11T18:29:00Z</dcterms:modified>
  <cp:revision>7</cp:revision>
  <dc:subject/>
  <dc:title>REVISED MOU BETWEEN SCE, EIX and CDWR</dc:title>
</cp:coreProperties>
</file>