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 xml:space="preserve">401(K) </w:t>
      </w:r>
      <w:r>
        <w:rPr>
          <w:smallCaps/>
          <w:sz w:val="28"/>
        </w:rPr>
        <w:t>Plan</w:t>
      </w:r>
    </w:p>
    <w:p>
      <w:pPr>
        <w:pStyle w:val="BlockText"/>
        <w:ind w:hanging="0" w:start="0" w:end="0"/>
        <w:rPr/>
      </w:pPr>
      <w:r>
        <w:rPr>
          <w:b/>
        </w:rPr>
        <w:t>RESOLVED</w:t>
      </w:r>
      <w:r>
        <w:rPr/>
        <w:t>, that the Company hereby adopts and approves the complete amendment, restatement, and continuation of the retirement plan known as the Mariner Energy, Inc. Employee Capital Accumulation Plan (the “Plan”), as set forth in the instrument entitled “Mariner Energy, Inc. Employee Capital Accumulation Plan Amendment and Restatement Effective January 1, 1998”; and</w:t>
      </w:r>
    </w:p>
    <w:p>
      <w:pPr>
        <w:pStyle w:val="BlockText"/>
        <w:spacing w:before="0" w:after="240"/>
        <w:ind w:hanging="0" w:start="0" w:end="0"/>
        <w:rPr/>
      </w:pPr>
      <w:r>
        <w:rPr>
          <w:b/>
          <w:color w:val="000000"/>
          <w:lang w:eastAsia="en-US"/>
        </w:rPr>
        <w:t>RESOLVED FURTHER</w:t>
      </w:r>
      <w:r>
        <w:rPr>
          <w:color w:val="000000"/>
          <w:lang w:eastAsia="en-US"/>
        </w:rPr>
        <w:t>, that the proper officers of the Company are hereby authorized and directed (i) to execute (a) the Plan substantially in the form hereinabove adopted and approved, together with any changes which such persons, with the advice of legal counsel, deem necessary or appropriate, and (b) any amendments as may be required by the Internal Revenue Service (the “IRS”) in order to obtain a favorable determination letter that the Plan is a qualified plan under section 401(a) of the Internal Revenue Code of 1986, as amended (the “Code”) and the trust used to fund the Plan is exempt from federal income taxes under section 501(a) of the Code, and (ii) to take such other actions as are necessary in order to make the Plan, as amended and restated, effective and to secure approval thereof by the IRS, and that the administrative committee of the Plan and its related trust is hereby authorized and directed to take such action as is necessary to make the Plan effective and to ensure that the Plan and its related trust are operated for the greatest benefit of all the members of the Plan (and beneficiaries thereof) and to otherwise carry out the intents and purposes of these resolutions.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rPr/>
          </w:pPr>
          <w:r>
            <w:rPr/>
            <w:fldChar w:fldCharType="begin"/>
          </w:r>
          <w:r>
            <w:rPr/>
            <w:instrText xml:space="preserve"> DOCPROPERTY "xB"</w:instrText>
          </w:r>
          <w:r>
            <w:rPr/>
            <w:fldChar w:fldCharType="separate"/>
          </w:r>
          <w:r>
            <w:rPr/>
            <w:t>40035646.1</w:t>
          </w:r>
          <w:r>
            <w:rPr/>
            <w:fldChar w:fldCharType="end"/>
          </w:r>
        </w:p>
        <w:p>
          <w:pPr>
            <w:pStyle w:val="DocumentInformation"/>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sz w:val="24"/>
    </w:rPr>
  </w:style>
  <w:style w:type="paragraph" w:styleId="Heading2">
    <w:name w:val="heading 2"/>
    <w:basedOn w:val="Normal"/>
    <w:next w:val="BodyText"/>
    <w:qFormat/>
    <w:pPr>
      <w:keepNext w:val="true"/>
      <w:numPr>
        <w:ilvl w:val="1"/>
        <w:numId w:val="1"/>
      </w:numPr>
      <w:spacing w:before="0" w:after="240"/>
      <w:jc w:val="center"/>
      <w:outlineLvl w:val="1"/>
    </w:pPr>
    <w:rPr>
      <w:b/>
      <w:i/>
      <w:sz w:val="24"/>
    </w:rPr>
  </w:style>
  <w:style w:type="paragraph" w:styleId="Heading3">
    <w:name w:val="heading 3"/>
    <w:basedOn w:val="Normal"/>
    <w:next w:val="BodyText"/>
    <w:qFormat/>
    <w:pPr>
      <w:keepNext w:val="true"/>
      <w:numPr>
        <w:ilvl w:val="2"/>
        <w:numId w:val="1"/>
      </w:numPr>
      <w:spacing w:before="0" w:after="240"/>
      <w:ind w:hanging="0" w:start="4680" w:end="0"/>
      <w:outlineLvl w:val="2"/>
    </w:pPr>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ind w:firstLine="72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ind w:firstLine="72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jc w:val="center"/>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2001-12-20T14:51:00Z</dcterms:created>
  <dc:creator>Fulbright &amp; Jaworski User</dc:creator>
  <dc:description> </dc:description>
  <dc:language>en-CA</dc:language>
  <cp:lastModifiedBy>DCAGLE</cp:lastModifiedBy>
  <cp:lastPrinted>2001-12-20T10:12:00Z</cp:lastPrinted>
  <dcterms:modified xsi:type="dcterms:W3CDTF">2001-12-20T14:51:00Z</dcterms:modified>
  <cp:revision>2</cp:revision>
  <dc:subject/>
  <dc:title>Fulbright &amp; Jaworski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A">
    <vt:lpwstr>01121</vt:lpwstr>
  </property>
  <property fmtid="{D5CDD505-2E9C-101B-9397-08002B2CF9AE}" pid="3" name="xB">
    <vt:lpwstr>40035646.1</vt:lpwstr>
  </property>
  <property fmtid="{D5CDD505-2E9C-101B-9397-08002B2CF9AE}" pid="4" name="xC">
    <vt:lpwstr>X</vt:lpwstr>
  </property>
  <property fmtid="{D5CDD505-2E9C-101B-9397-08002B2CF9AE}" pid="5" name="xD">
    <vt:lpwstr>08503805</vt:lpwstr>
  </property>
</Properties>
</file>