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480"/>
        <w:jc w:val="center"/>
        <w:rPr>
          <w:b/>
          <w:lang w:val="en-CA"/>
        </w:rPr>
      </w:pPr>
      <w:r>
        <w:rPr>
          <w:b/>
          <w:lang w:val="en-CA"/>
        </w:rPr>
        <w:t>ENRON CANADA CORP.</w:t>
      </w:r>
    </w:p>
    <w:p>
      <w:pPr>
        <w:pStyle w:val="Heading1"/>
        <w:ind w:hanging="0" w:start="0"/>
        <w:rPr>
          <w:u w:val="single"/>
          <w:lang w:val="en-CA"/>
        </w:rPr>
      </w:pPr>
      <w:r>
        <w:rPr>
          <w:u w:val="single"/>
          <w:lang w:val="en-CA"/>
        </w:rPr>
        <w:t>DIRECTORS' RESOLUTIONS</w:t>
      </w:r>
    </w:p>
    <w:p>
      <w:pPr>
        <w:pStyle w:val="Normal"/>
        <w:spacing w:before="0" w:after="480"/>
        <w:ind w:firstLine="720" w:end="0"/>
        <w:rPr/>
      </w:pPr>
      <w:r>
        <w:rPr>
          <w:lang w:val="en-CA"/>
        </w:rPr>
        <w:t xml:space="preserve">The undersigned, being all of the directors of ENRON CANADA CORP. (the "Corporation"), hereby sign the following resolutions pursuant to subsection 112(1) of the </w:t>
      </w:r>
      <w:r>
        <w:rPr>
          <w:i/>
          <w:lang w:val="en-CA"/>
        </w:rPr>
        <w:t xml:space="preserve">Business Corporations Act </w:t>
      </w:r>
      <w:r>
        <w:rPr>
          <w:lang w:val="en-CA"/>
        </w:rPr>
        <w:t>(Alberta):</w:t>
      </w:r>
    </w:p>
    <w:p>
      <w:pPr>
        <w:pStyle w:val="Heading1"/>
        <w:ind w:hanging="0" w:start="0"/>
        <w:rPr/>
      </w:pPr>
      <w:r>
        <w:rPr>
          <w:lang w:val="en-CA"/>
        </w:rPr>
        <w:t xml:space="preserve">RESIGNATION AND </w:t>
      </w:r>
      <w:r>
        <w:rPr/>
        <w:t>APPOINTMENT OF OFFICERS</w:t>
      </w:r>
    </w:p>
    <w:p>
      <w:pPr>
        <w:pStyle w:val="BlockText"/>
        <w:tabs>
          <w:tab w:val="clear" w:pos="720"/>
          <w:tab w:val="left" w:pos="-720" w:leader="none"/>
          <w:tab w:val="left" w:pos="900" w:leader="none"/>
          <w:tab w:val="left" w:pos="1440" w:leader="none"/>
        </w:tabs>
        <w:suppressAutoHyphens w:val="false"/>
        <w:spacing w:lineRule="atLeast" w:line="240"/>
        <w:ind w:hanging="0" w:start="0" w:end="720"/>
        <w:rPr>
          <w:spacing w:val="0"/>
          <w:sz w:val="24"/>
        </w:rPr>
      </w:pPr>
      <w:r>
        <w:rPr>
          <w:spacing w:val="0"/>
          <w:sz w:val="24"/>
        </w:rPr>
        <w:t>BE IT RESOLVED THAT:</w:t>
      </w:r>
    </w:p>
    <w:p>
      <w:pPr>
        <w:pStyle w:val="BlockText"/>
        <w:tabs>
          <w:tab w:val="clear" w:pos="720"/>
          <w:tab w:val="left" w:pos="-720" w:leader="none"/>
          <w:tab w:val="left" w:pos="900" w:leader="none"/>
          <w:tab w:val="left" w:pos="1440" w:leader="none"/>
        </w:tabs>
        <w:suppressAutoHyphens w:val="false"/>
        <w:spacing w:lineRule="atLeast" w:line="240"/>
        <w:ind w:hanging="0" w:start="0" w:end="720"/>
        <w:rPr>
          <w:spacing w:val="0"/>
          <w:sz w:val="24"/>
        </w:rPr>
      </w:pPr>
      <w:r>
        <w:rPr>
          <w:spacing w:val="0"/>
          <w:sz w:val="24"/>
        </w:rPr>
      </w:r>
    </w:p>
    <w:p>
      <w:pPr>
        <w:pStyle w:val="BlockText"/>
        <w:tabs>
          <w:tab w:val="left" w:pos="-720" w:leader="none"/>
          <w:tab w:val="left" w:pos="720" w:leader="none"/>
          <w:tab w:val="left" w:pos="1440" w:leader="none"/>
        </w:tabs>
        <w:suppressAutoHyphens w:val="false"/>
        <w:spacing w:lineRule="atLeast" w:line="240"/>
        <w:ind w:hanging="720" w:end="720"/>
        <w:rPr/>
      </w:pPr>
      <w:r>
        <w:rPr>
          <w:spacing w:val="0"/>
          <w:sz w:val="24"/>
        </w:rPr>
        <w:t>1.</w:t>
        <w:tab/>
        <w:t xml:space="preserve">the resignation of </w:t>
      </w:r>
      <w:r>
        <w:rPr>
          <w:sz w:val="24"/>
        </w:rPr>
        <w:t>John</w:t>
      </w:r>
      <w:r>
        <w:rPr>
          <w:spacing w:val="0"/>
          <w:sz w:val="24"/>
        </w:rPr>
        <w:t xml:space="preserve"> J. Lavorato as Managing Director of the Corporation be and hereby is accepted effective as of January 15, 2001; and</w:t>
      </w:r>
    </w:p>
    <w:p>
      <w:pPr>
        <w:pStyle w:val="BlockText"/>
        <w:tabs>
          <w:tab w:val="clear" w:pos="720"/>
          <w:tab w:val="left" w:pos="-720" w:leader="none"/>
          <w:tab w:val="left" w:pos="900" w:leader="none"/>
          <w:tab w:val="left" w:pos="1440" w:leader="none"/>
        </w:tabs>
        <w:suppressAutoHyphens w:val="false"/>
        <w:spacing w:lineRule="atLeast" w:line="240"/>
        <w:ind w:hanging="0" w:start="0" w:end="720"/>
        <w:rPr>
          <w:spacing w:val="0"/>
          <w:sz w:val="24"/>
        </w:rPr>
      </w:pPr>
      <w:r>
        <w:rPr>
          <w:spacing w:val="0"/>
          <w:sz w:val="24"/>
        </w:rPr>
      </w:r>
    </w:p>
    <w:p>
      <w:pPr>
        <w:pStyle w:val="BlockText"/>
        <w:tabs>
          <w:tab w:val="left" w:pos="-720" w:leader="none"/>
          <w:tab w:val="left" w:pos="720" w:leader="none"/>
          <w:tab w:val="left" w:pos="1440" w:leader="none"/>
        </w:tabs>
        <w:suppressAutoHyphens w:val="false"/>
        <w:spacing w:lineRule="atLeast" w:line="240"/>
        <w:ind w:hanging="720" w:end="0"/>
        <w:rPr/>
      </w:pPr>
      <w:r>
        <w:rPr>
          <w:spacing w:val="0"/>
          <w:sz w:val="24"/>
        </w:rPr>
        <w:t>2.</w:t>
        <w:tab/>
      </w:r>
      <w:r>
        <w:rPr>
          <w:sz w:val="24"/>
        </w:rPr>
        <w:t>the following persons be and hereby are appointed officers of the Corporation to hold the office or offices set out opposite their respective names to serve during the pleasure of the board of directors of the Corporation and until the next annual election of directors of the Corporation or until such person's successor shall have been appointed and qualified and the following persons, as hereby appointed, shall constitute the entire and complete slate of officers of the Corporation:</w:t>
      </w:r>
    </w:p>
    <w:p>
      <w:pPr>
        <w:pStyle w:val="BlockText"/>
        <w:tabs>
          <w:tab w:val="clear" w:pos="720"/>
          <w:tab w:val="left" w:pos="-720" w:leader="none"/>
          <w:tab w:val="left" w:pos="900" w:leader="none"/>
          <w:tab w:val="left" w:pos="1440" w:leader="none"/>
        </w:tabs>
        <w:suppressAutoHyphens w:val="false"/>
        <w:spacing w:lineRule="atLeast" w:line="240"/>
        <w:ind w:hanging="0" w:start="0" w:end="720"/>
        <w:rPr>
          <w:sz w:val="24"/>
        </w:rPr>
      </w:pPr>
      <w:r>
        <w:rPr>
          <w:sz w:val="24"/>
        </w:rPr>
      </w:r>
    </w:p>
    <w:p>
      <w:pPr>
        <w:pStyle w:val="Normal"/>
        <w:ind w:firstLine="720" w:end="0"/>
        <w:rPr>
          <w:lang w:val="en-CA" w:eastAsia="en-CA"/>
        </w:rPr>
      </w:pPr>
      <w:r>
        <w:rPr>
          <w:lang w:val="en-CA" w:eastAsia="en-CA"/>
        </w:rPr>
        <w:t>P. Robson Milnthorp -</w:t>
        <w:tab/>
        <w:t>President, Chief Executive Officer and Managing Director</w:t>
      </w:r>
    </w:p>
    <w:p>
      <w:pPr>
        <w:pStyle w:val="Normal"/>
        <w:ind w:firstLine="720" w:end="0"/>
        <w:rPr>
          <w:lang w:val="en-CA" w:eastAsia="en-CA"/>
        </w:rPr>
      </w:pPr>
      <w:r>
        <w:rPr>
          <w:lang w:val="en-CA" w:eastAsia="en-CA"/>
        </w:rPr>
        <w:t>Kyle Kitagawa -</w:t>
        <w:tab/>
        <w:tab/>
        <w:t>Vice-President and Treasurer</w:t>
      </w:r>
    </w:p>
    <w:p>
      <w:pPr>
        <w:pStyle w:val="Normal"/>
        <w:ind w:firstLine="720" w:end="0"/>
        <w:rPr>
          <w:lang w:val="en-CA" w:eastAsia="en-CA"/>
        </w:rPr>
      </w:pPr>
      <w:r>
        <w:rPr>
          <w:lang w:val="en-CA" w:eastAsia="en-CA"/>
        </w:rPr>
        <w:t>Peter C. Keohane -</w:t>
        <w:tab/>
        <w:tab/>
        <w:t>Vice-President and Secretary</w:t>
      </w:r>
    </w:p>
    <w:p>
      <w:pPr>
        <w:pStyle w:val="Normal"/>
        <w:ind w:firstLine="720" w:end="0"/>
        <w:rPr>
          <w:lang w:val="en-CA" w:eastAsia="en-CA"/>
        </w:rPr>
      </w:pPr>
      <w:r>
        <w:rPr>
          <w:lang w:val="en-CA" w:eastAsia="en-CA"/>
        </w:rPr>
        <w:t>Derek Davies -</w:t>
        <w:tab/>
        <w:tab/>
        <w:t>Vice-President</w:t>
      </w:r>
    </w:p>
    <w:p>
      <w:pPr>
        <w:pStyle w:val="Normal"/>
        <w:ind w:firstLine="720" w:end="0"/>
        <w:rPr>
          <w:lang w:val="en-CA" w:eastAsia="en-CA"/>
        </w:rPr>
      </w:pPr>
      <w:r>
        <w:rPr>
          <w:lang w:val="en-CA" w:eastAsia="en-CA"/>
        </w:rPr>
        <w:t>Paul DeVries -</w:t>
        <w:tab/>
        <w:tab/>
        <w:tab/>
        <w:t>Vice-President</w:t>
      </w:r>
    </w:p>
    <w:p>
      <w:pPr>
        <w:pStyle w:val="Normal"/>
        <w:ind w:firstLine="720" w:end="0"/>
        <w:rPr>
          <w:lang w:val="en-CA" w:eastAsia="en-CA"/>
        </w:rPr>
      </w:pPr>
      <w:r>
        <w:rPr>
          <w:lang w:val="en-CA" w:eastAsia="en-CA"/>
        </w:rPr>
        <w:t>John Zufferli -</w:t>
        <w:tab/>
        <w:tab/>
        <w:tab/>
        <w:t>Vice-President</w:t>
      </w:r>
    </w:p>
    <w:p>
      <w:pPr>
        <w:pStyle w:val="Normal"/>
        <w:ind w:firstLine="720" w:end="0"/>
        <w:rPr>
          <w:lang w:val="en-CA" w:eastAsia="en-CA"/>
        </w:rPr>
      </w:pPr>
      <w:r>
        <w:rPr>
          <w:lang w:val="en-CA" w:eastAsia="en-CA"/>
        </w:rPr>
        <w:t>Laura Scott -</w:t>
        <w:tab/>
        <w:tab/>
        <w:tab/>
        <w:t>Vice-President</w:t>
      </w:r>
    </w:p>
    <w:p>
      <w:pPr>
        <w:pStyle w:val="Header"/>
        <w:tabs>
          <w:tab w:val="clear" w:pos="4320"/>
          <w:tab w:val="clear" w:pos="9360"/>
        </w:tabs>
        <w:ind w:firstLine="720" w:end="0"/>
        <w:rPr>
          <w:lang w:val="en-CA" w:eastAsia="en-CA"/>
        </w:rPr>
      </w:pPr>
      <w:r>
        <w:rPr>
          <w:lang w:val="en-CA" w:eastAsia="en-CA"/>
        </w:rPr>
        <w:t>Peggy Hedstrom  -</w:t>
        <w:tab/>
        <w:tab/>
        <w:t>Vice-President, Energy Operations</w:t>
      </w:r>
    </w:p>
    <w:p>
      <w:pPr>
        <w:pStyle w:val="Header"/>
        <w:tabs>
          <w:tab w:val="clear" w:pos="4320"/>
          <w:tab w:val="clear" w:pos="9360"/>
        </w:tabs>
        <w:ind w:firstLine="720" w:end="0"/>
        <w:rPr>
          <w:lang w:val="en-CA" w:eastAsia="en-CA"/>
        </w:rPr>
      </w:pPr>
      <w:r>
        <w:rPr>
          <w:lang w:val="en-CA" w:eastAsia="en-CA"/>
        </w:rPr>
        <w:t>Christopher J. Gaffney -</w:t>
        <w:tab/>
        <w:t>Assistant Secretary</w:t>
      </w:r>
    </w:p>
    <w:p>
      <w:pPr>
        <w:pStyle w:val="Header"/>
        <w:tabs>
          <w:tab w:val="clear" w:pos="4320"/>
          <w:tab w:val="clear" w:pos="9360"/>
        </w:tabs>
        <w:ind w:firstLine="720" w:end="0"/>
        <w:rPr>
          <w:lang w:val="en-CA" w:eastAsia="en-CA"/>
        </w:rPr>
      </w:pPr>
      <w:r>
        <w:rPr>
          <w:lang w:val="en-CA" w:eastAsia="en-CA"/>
        </w:rPr>
        <w:t xml:space="preserve">Gregory S. Johnston - </w:t>
        <w:tab/>
        <w:t>Assistant Secretary</w:t>
      </w:r>
    </w:p>
    <w:p>
      <w:pPr>
        <w:pStyle w:val="Normal"/>
        <w:ind w:firstLine="720" w:end="0"/>
        <w:rPr>
          <w:lang w:val="en-CA" w:eastAsia="en-CA"/>
        </w:rPr>
      </w:pPr>
      <w:r>
        <w:rPr>
          <w:lang w:val="en-CA" w:eastAsia="en-CA"/>
        </w:rPr>
        <w:t>Mark S. Powell -</w:t>
        <w:tab/>
        <w:tab/>
        <w:t>Assistant Secretary,</w:t>
      </w:r>
    </w:p>
    <w:p>
      <w:pPr>
        <w:pStyle w:val="Normal"/>
        <w:ind w:firstLine="720" w:end="0"/>
        <w:rPr>
          <w:lang w:val="en-CA" w:eastAsia="en-CA"/>
        </w:rPr>
      </w:pPr>
      <w:r>
        <w:rPr>
          <w:lang w:val="en-CA" w:eastAsia="en-CA"/>
        </w:rPr>
      </w:r>
    </w:p>
    <w:p>
      <w:pPr>
        <w:pStyle w:val="Normal"/>
        <w:ind w:start="720" w:end="0"/>
        <w:rPr>
          <w:lang w:val="en-CA" w:eastAsia="en-CA"/>
        </w:rPr>
      </w:pPr>
      <w:r>
        <w:rPr>
          <w:lang w:val="en-CA" w:eastAsia="en-CA"/>
        </w:rPr>
        <w:t>provided that the appointment of each of Laura Scott and Peggy Hedstrom as a Vice-President of the Corporation does not entitle any such individual to:</w:t>
      </w:r>
    </w:p>
    <w:p>
      <w:pPr>
        <w:pStyle w:val="Normal"/>
        <w:ind w:start="720" w:end="0"/>
        <w:rPr>
          <w:lang w:val="en-CA" w:eastAsia="en-CA"/>
        </w:rPr>
      </w:pPr>
      <w:r>
        <w:rPr>
          <w:lang w:val="en-CA" w:eastAsia="en-CA"/>
        </w:rPr>
      </w:r>
    </w:p>
    <w:p>
      <w:pPr>
        <w:pStyle w:val="Normal"/>
        <w:ind w:hanging="720" w:start="1440" w:end="0"/>
        <w:rPr>
          <w:lang w:val="en-CA" w:eastAsia="en-CA"/>
        </w:rPr>
      </w:pPr>
      <w:r>
        <w:rPr>
          <w:lang w:val="en-CA" w:eastAsia="en-CA"/>
        </w:rPr>
        <w:t>a.</w:t>
        <w:tab/>
        <w:t>execute contracts, documents or instruments in writing for and on behalf of the Corporation pursuant to section 75 of By-law No.1 of the Corporation, as amended;</w:t>
      </w:r>
    </w:p>
    <w:p>
      <w:pPr>
        <w:pStyle w:val="Normal"/>
        <w:ind w:hanging="720" w:start="1440" w:end="0"/>
        <w:rPr>
          <w:lang w:val="en-CA" w:eastAsia="en-CA"/>
        </w:rPr>
      </w:pPr>
      <w:r>
        <w:rPr>
          <w:lang w:val="en-CA" w:eastAsia="en-CA"/>
        </w:rPr>
      </w:r>
    </w:p>
    <w:p>
      <w:pPr>
        <w:pStyle w:val="Normal"/>
        <w:ind w:hanging="720" w:start="1440" w:end="0"/>
        <w:rPr>
          <w:lang w:val="en-CA" w:eastAsia="en-CA"/>
        </w:rPr>
      </w:pPr>
      <w:r>
        <w:rPr>
          <w:lang w:val="en-CA" w:eastAsia="en-CA"/>
        </w:rPr>
        <w:t>b.</w:t>
        <w:tab/>
        <w:t>establish or certify signatures regarding brokerage accounts as contemplated by the 1998 directors' resolutions entitled "Opening of Brokerage Account(s); Conducting Transactions";</w:t>
      </w:r>
    </w:p>
    <w:p>
      <w:pPr>
        <w:pStyle w:val="Normal"/>
        <w:rPr>
          <w:lang w:val="en-CA" w:eastAsia="en-CA"/>
        </w:rPr>
      </w:pPr>
      <w:r>
        <w:rPr>
          <w:lang w:val="en-CA" w:eastAsia="en-CA"/>
        </w:rPr>
      </w:r>
    </w:p>
    <w:p>
      <w:pPr>
        <w:pStyle w:val="BodyTextIndent3"/>
        <w:rPr/>
      </w:pPr>
      <w:r>
        <w:rPr/>
        <w:t>c.</w:t>
        <w:tab/>
        <w:t>execute energy price swap and option agreements pursuant to the directors' resolutions dated August 28, 1998 but effective August 1, 1998, as supplemented by directors' resolutions dated September 28, 2000 (collectively, the "Swap Resolutions"); or</w:t>
      </w:r>
    </w:p>
    <w:p>
      <w:pPr>
        <w:pStyle w:val="Normal"/>
        <w:rPr>
          <w:lang w:val="en-CA" w:eastAsia="en-CA"/>
        </w:rPr>
      </w:pPr>
      <w:r>
        <w:rPr>
          <w:lang w:val="en-CA" w:eastAsia="en-CA"/>
        </w:rPr>
      </w:r>
    </w:p>
    <w:p>
      <w:pPr>
        <w:pStyle w:val="Normal"/>
        <w:ind w:hanging="720" w:start="1440" w:end="0"/>
        <w:rPr>
          <w:lang w:val="en-CA" w:eastAsia="en-CA"/>
        </w:rPr>
      </w:pPr>
      <w:r>
        <w:rPr>
          <w:lang w:val="en-CA" w:eastAsia="en-CA"/>
        </w:rPr>
        <w:t>d.</w:t>
        <w:tab/>
        <w:t>execute interest rate and currency swap and option agreements as contemplated by the Swap Resolutions,</w:t>
      </w:r>
    </w:p>
    <w:p>
      <w:pPr>
        <w:pStyle w:val="Normal"/>
        <w:rPr>
          <w:lang w:val="en-CA" w:eastAsia="en-CA"/>
        </w:rPr>
      </w:pPr>
      <w:r>
        <w:rPr>
          <w:lang w:val="en-CA" w:eastAsia="en-CA"/>
        </w:rPr>
      </w:r>
    </w:p>
    <w:p>
      <w:pPr>
        <w:pStyle w:val="Normal"/>
        <w:ind w:start="720" w:end="0"/>
        <w:rPr>
          <w:lang w:val="en-CA" w:eastAsia="en-CA"/>
        </w:rPr>
      </w:pPr>
      <w:r>
        <w:rPr>
          <w:lang w:val="en-CA" w:eastAsia="en-CA"/>
        </w:rPr>
        <w:t>unless such execution by such individual is otherwise authorized by a separate resolution of the directors.</w:t>
      </w:r>
    </w:p>
    <w:p>
      <w:pPr>
        <w:pStyle w:val="Normal"/>
        <w:ind w:start="720" w:end="0"/>
        <w:rPr>
          <w:lang w:val="en-CA" w:eastAsia="en-CA"/>
        </w:rPr>
      </w:pPr>
      <w:r>
        <w:rPr>
          <w:lang w:val="en-CA" w:eastAsia="en-CA"/>
        </w:rPr>
      </w:r>
    </w:p>
    <w:p>
      <w:pPr>
        <w:pStyle w:val="BlockText"/>
        <w:tabs>
          <w:tab w:val="clear" w:pos="720"/>
          <w:tab w:val="left" w:pos="-720" w:leader="none"/>
          <w:tab w:val="left" w:pos="900" w:leader="none"/>
          <w:tab w:val="left" w:pos="1440" w:leader="none"/>
        </w:tabs>
        <w:suppressAutoHyphens w:val="false"/>
        <w:spacing w:lineRule="atLeast" w:line="240"/>
        <w:ind w:hanging="0" w:start="0" w:end="720"/>
        <w:rPr>
          <w:spacing w:val="0"/>
          <w:sz w:val="24"/>
          <w:lang w:val="en-CA" w:eastAsia="en-CA"/>
        </w:rPr>
      </w:pPr>
      <w:r>
        <w:rPr>
          <w:spacing w:val="0"/>
          <w:sz w:val="24"/>
          <w:lang w:val="en-CA" w:eastAsia="en-CA"/>
        </w:rPr>
      </w:r>
    </w:p>
    <w:p>
      <w:pPr>
        <w:pStyle w:val="Normal"/>
        <w:ind w:firstLine="720" w:end="0"/>
        <w:rPr/>
      </w:pPr>
      <w:r>
        <w:rPr>
          <w:lang w:val="en-CA"/>
        </w:rPr>
        <w:t>DATED effective as of the 15</w:t>
      </w:r>
      <w:r>
        <w:rPr>
          <w:vertAlign w:val="superscript"/>
          <w:lang w:val="en-CA"/>
        </w:rPr>
        <w:t>th</w:t>
      </w:r>
      <w:r>
        <w:rPr>
          <w:lang w:val="en-CA"/>
        </w:rPr>
        <w:t xml:space="preserve"> day of January, 2001.</w:t>
      </w:r>
    </w:p>
    <w:p>
      <w:pPr>
        <w:pStyle w:val="Normal"/>
        <w:rPr>
          <w:lang w:val="en-CA"/>
        </w:rPr>
      </w:pPr>
      <w:r>
        <w:rPr>
          <w:lang w:val="en-CA"/>
        </w:rPr>
      </w:r>
    </w:p>
    <w:p>
      <w:pPr>
        <w:pStyle w:val="Normal"/>
        <w:rPr>
          <w:lang w:val="en-CA"/>
        </w:rPr>
      </w:pPr>
      <w:r>
        <w:rPr>
          <w:lang w:val="en-CA"/>
        </w:rPr>
      </w:r>
    </w:p>
    <w:p>
      <w:pPr>
        <w:pStyle w:val="Normal"/>
        <w:rPr/>
      </w:pPr>
      <w:r>
        <w:rPr/>
        <w:tab/>
        <w:tab/>
        <w:tab/>
        <w:tab/>
        <w:tab/>
        <w:tab/>
        <w:tab/>
      </w:r>
    </w:p>
    <w:tbl>
      <w:tblPr>
        <w:tblW w:w="12960" w:type="dxa"/>
        <w:jc w:val="start"/>
        <w:tblInd w:w="0" w:type="dxa"/>
        <w:tblLayout w:type="fixed"/>
        <w:tblCellMar>
          <w:top w:w="0" w:type="dxa"/>
          <w:start w:w="0" w:type="dxa"/>
          <w:bottom w:w="0" w:type="dxa"/>
          <w:end w:w="0" w:type="dxa"/>
        </w:tblCellMar>
      </w:tblPr>
      <w:tblGrid>
        <w:gridCol w:w="4320"/>
        <w:gridCol w:w="450"/>
        <w:gridCol w:w="8190"/>
      </w:tblGrid>
      <w:tr>
        <w:trPr/>
        <w:tc>
          <w:tcPr>
            <w:tcW w:w="4320" w:type="dxa"/>
            <w:tcBorders>
              <w:top w:val="single" w:sz="4" w:space="0" w:color="000000"/>
            </w:tcBorders>
          </w:tcPr>
          <w:p>
            <w:pPr>
              <w:pStyle w:val="Normal"/>
              <w:rPr>
                <w:b/>
                <w:lang w:val="en-CA"/>
              </w:rPr>
            </w:pPr>
            <w:r>
              <mc:AlternateContent>
                <mc:Choice Requires="wps">
                  <w:drawing>
                    <wp:anchor behindDoc="0" distT="0" distB="0" distL="114935" distR="114935" simplePos="0" locked="0" layoutInCell="0" allowOverlap="1" relativeHeight="2">
                      <wp:simplePos x="0" y="0"/>
                      <wp:positionH relativeFrom="margin">
                        <wp:posOffset>3017520</wp:posOffset>
                      </wp:positionH>
                      <wp:positionV relativeFrom="paragraph">
                        <wp:posOffset>13335</wp:posOffset>
                      </wp:positionV>
                      <wp:extent cx="2926080" cy="0"/>
                      <wp:effectExtent l="0" t="5080" r="0" b="5080"/>
                      <wp:wrapNone/>
                      <wp:docPr id="1" name=""/>
                      <a:graphic xmlns:a="http://schemas.openxmlformats.org/drawingml/2006/main">
                        <a:graphicData uri="http://schemas.microsoft.com/office/word/2010/wordprocessingShape">
                          <wps:wsp>
                            <wps:cNvSpPr/>
                            <wps:spPr>
                              <a:xfrm>
                                <a:off x="0" y="0"/>
                                <a:ext cx="2926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37.6pt,1.05pt" to="467.95pt,1.05pt" stroked="t" o:allowincell="f" style="position:absolute;mso-position-horizontal-relative:margin">
                      <v:stroke color="black" weight="9360" joinstyle="miter" endcap="flat"/>
                      <v:fill o:detectmouseclick="t" on="false"/>
                      <w10:wrap type="none"/>
                    </v:line>
                  </w:pict>
                </mc:Fallback>
              </mc:AlternateContent>
            </w:r>
            <w:r>
              <w:rPr>
                <w:b/>
                <w:lang w:val="en-CA"/>
              </w:rPr>
              <w:t>P. ROBSON MILNTHORP</w:t>
            </w:r>
          </w:p>
        </w:tc>
        <w:tc>
          <w:tcPr>
            <w:tcW w:w="450" w:type="dxa"/>
            <w:tcBorders/>
          </w:tcPr>
          <w:p>
            <w:pPr>
              <w:pStyle w:val="Normal"/>
              <w:snapToGrid w:val="false"/>
              <w:rPr>
                <w:b/>
                <w:lang w:val="en-CA"/>
              </w:rPr>
            </w:pPr>
            <w:r>
              <w:rPr>
                <w:b/>
                <w:lang w:val="en-CA"/>
              </w:rPr>
            </w:r>
          </w:p>
        </w:tc>
        <w:tc>
          <w:tcPr>
            <w:tcW w:w="8190" w:type="dxa"/>
            <w:tcBorders/>
          </w:tcPr>
          <w:p>
            <w:pPr>
              <w:pStyle w:val="Normal"/>
              <w:rPr>
                <w:b/>
                <w:lang w:val="en-CA"/>
              </w:rPr>
            </w:pPr>
            <w:r>
              <w:rPr>
                <w:b/>
                <w:lang w:val="en-CA"/>
              </w:rPr>
              <w:t>PETER C. KEOHANE</w:t>
            </w:r>
          </w:p>
        </w:tc>
      </w:tr>
    </w:tbl>
    <w:p>
      <w:pPr>
        <w:pStyle w:val="Header"/>
        <w:tabs>
          <w:tab w:val="clear" w:pos="4320"/>
          <w:tab w:val="clear" w:pos="9360"/>
        </w:tabs>
        <w:rPr>
          <w:lang w:val="en-CA"/>
        </w:rPr>
      </w:pPr>
      <w:r>
        <w:rPr>
          <w:lang w:val="en-CA"/>
        </w:rPr>
      </w:r>
    </w:p>
    <w:sectPr>
      <w:headerReference w:type="default" r:id="rId2"/>
      <w:headerReference w:type="first" r:id="rId3"/>
      <w:footerReference w:type="default" r:id="rId4"/>
      <w:footerReference w:type="first" r:id="rId5"/>
      <w:type w:val="nextPage"/>
      <w:pgSz w:w="12240" w:h="15840"/>
      <w:pgMar w:left="1440" w:right="1440" w:gutter="0" w:header="720" w:top="1080" w:footer="288"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/mnt/main-storage/datasets/enron-docs/doc/RESOL38.Corporate_Officers.doc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/mnt/main-storage/datasets/enron-docs/doc/RESOL38.Corporate_Officers.doc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jc w:val="end"/>
      <w:rPr>
        <w:rStyle w:val="PageNumber"/>
      </w:rPr>
    </w:pPr>
    <w:r>
      <w:rPr/>
    </w:r>
  </w:p>
  <w:p>
    <w:pPr>
      <w:pStyle w:val="Header"/>
      <w:jc w:val="end"/>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720"/>
        </w:tabs>
        <w:ind w:start="720" w:hanging="720"/>
      </w:pPr>
      <w:rPr>
        <w:caps/>
        <w:outline w:val="false"/>
        <w:dstrike w:val="false"/>
        <w:strike w:val="false"/>
        <w:vertAlign w:val="baseline"/>
        <w:position w:val="0"/>
        <w:sz w:val="24"/>
        <w:i w:val="false"/>
        <w:shadow w:val="false"/>
        <w:u w:val="none"/>
        <w:b w:val="false"/>
        <w:vanish w:val="false"/>
        <w:color w:val="auto"/>
      </w:rPr>
    </w:lvl>
    <w:lvl w:ilvl="1">
      <w:start w:val="1"/>
      <w:numFmt w:val="decimal"/>
      <w:lvlText w:val="(%2)"/>
      <w:lvlJc w:val="start"/>
      <w:pPr>
        <w:tabs>
          <w:tab w:val="num" w:pos="1440"/>
        </w:tabs>
        <w:ind w:start="1440" w:hanging="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decimal"/>
      <w:lvlText w:val="(%5)"/>
      <w:lvlJc w:val="start"/>
      <w:pPr>
        <w:tabs>
          <w:tab w:val="num" w:pos="3600"/>
        </w:tabs>
        <w:ind w:start="360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Letter"/>
      <w:lvlText w:val="%6)"/>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lowerRoman"/>
      <w:lvlText w:val="%7)"/>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upperLetter"/>
      <w:lvlText w:val="%8)"/>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decimal"/>
      <w:lvlText w:val="%9)"/>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bWasHeadingSet" w:val="False"/>
    <w:docVar w:name="iTrailerType" w:val="0"/>
    <w:docVar w:name="zzmpFixedDOC_ID" w:val="S:\C4\604\43437\1\0012-1.Organizing Resolutions.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360"/>
      <w:jc w:val="center"/>
      <w:outlineLvl w:val="0"/>
    </w:pPr>
    <w:rPr>
      <w:b/>
      <w:caps/>
    </w:rPr>
  </w:style>
  <w:style w:type="paragraph" w:styleId="Heading2">
    <w:name w:val="heading 2"/>
    <w:basedOn w:val="Normal"/>
    <w:next w:val="Normal"/>
    <w:qFormat/>
    <w:pPr>
      <w:keepNext w:val="true"/>
      <w:numPr>
        <w:ilvl w:val="1"/>
        <w:numId w:val="1"/>
      </w:numPr>
      <w:spacing w:before="240" w:after="0"/>
      <w:outlineLvl w:val="1"/>
    </w:pPr>
    <w:rPr>
      <w:b/>
      <w:sz w:val="28"/>
    </w:rPr>
  </w:style>
  <w:style w:type="paragraph" w:styleId="Heading3">
    <w:name w:val="heading 3"/>
    <w:basedOn w:val="Normal"/>
    <w:next w:val="Normal"/>
    <w:qFormat/>
    <w:pPr>
      <w:keepNext w:val="true"/>
      <w:numPr>
        <w:ilvl w:val="2"/>
        <w:numId w:val="1"/>
      </w:numPr>
      <w:spacing w:before="240" w:after="0"/>
      <w:outlineLvl w:val="2"/>
    </w:pPr>
    <w:rPr>
      <w:b/>
      <w:sz w:val="26"/>
    </w:rPr>
  </w:style>
  <w:style w:type="paragraph" w:styleId="Heading4">
    <w:name w:val="heading 4"/>
    <w:basedOn w:val="Normal"/>
    <w:next w:val="Normal"/>
    <w:qFormat/>
    <w:pPr>
      <w:keepNext w:val="true"/>
      <w:numPr>
        <w:ilvl w:val="3"/>
        <w:numId w:val="1"/>
      </w:numPr>
      <w:spacing w:before="240" w:after="0"/>
      <w:outlineLvl w:val="3"/>
    </w:pPr>
    <w:rPr>
      <w:b/>
    </w:rPr>
  </w:style>
  <w:style w:type="paragraph" w:styleId="Heading5">
    <w:name w:val="heading 5"/>
    <w:basedOn w:val="Normal"/>
    <w:next w:val="Normal"/>
    <w:qFormat/>
    <w:pPr>
      <w:keepNext w:val="true"/>
      <w:numPr>
        <w:ilvl w:val="4"/>
        <w:numId w:val="1"/>
      </w:numPr>
      <w:spacing w:before="240" w:after="0"/>
      <w:outlineLvl w:val="4"/>
    </w:pPr>
    <w:rPr>
      <w:b/>
    </w:rPr>
  </w:style>
  <w:style w:type="paragraph" w:styleId="Heading6">
    <w:name w:val="heading 6"/>
    <w:basedOn w:val="Normal"/>
    <w:next w:val="Normal"/>
    <w:qFormat/>
    <w:pPr>
      <w:keepNext w:val="true"/>
      <w:numPr>
        <w:ilvl w:val="5"/>
        <w:numId w:val="1"/>
      </w:numPr>
      <w:spacing w:before="240" w:after="0"/>
      <w:outlineLvl w:val="5"/>
    </w:pPr>
    <w:rPr>
      <w:b/>
    </w:rPr>
  </w:style>
  <w:style w:type="paragraph" w:styleId="Heading7">
    <w:name w:val="heading 7"/>
    <w:basedOn w:val="Normal"/>
    <w:next w:val="Normal"/>
    <w:qFormat/>
    <w:pPr>
      <w:keepNext w:val="true"/>
      <w:numPr>
        <w:ilvl w:val="6"/>
        <w:numId w:val="1"/>
      </w:numPr>
      <w:spacing w:before="240" w:after="0"/>
      <w:outlineLvl w:val="6"/>
    </w:pPr>
    <w:rPr/>
  </w:style>
  <w:style w:type="paragraph" w:styleId="Heading8">
    <w:name w:val="heading 8"/>
    <w:basedOn w:val="Normal"/>
    <w:next w:val="Normal"/>
    <w:qFormat/>
    <w:pPr>
      <w:keepNext w:val="true"/>
      <w:numPr>
        <w:ilvl w:val="7"/>
        <w:numId w:val="1"/>
      </w:numPr>
      <w:spacing w:before="240" w:after="0"/>
      <w:outlineLvl w:val="7"/>
    </w:pPr>
    <w:rPr/>
  </w:style>
  <w:style w:type="paragraph" w:styleId="Heading9">
    <w:name w:val="heading 9"/>
    <w:basedOn w:val="Normal"/>
    <w:next w:val="Normal"/>
    <w:qFormat/>
    <w:pPr>
      <w:keepNext w:val="true"/>
      <w:numPr>
        <w:ilvl w:val="8"/>
        <w:numId w:val="1"/>
      </w:numPr>
      <w:spacing w:before="240" w:after="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4z0">
    <w:name w:val="WW8Num14z0"/>
    <w:qFormat/>
    <w:rPr/>
  </w:style>
  <w:style w:type="character" w:styleId="WW8Num15z0">
    <w:name w:val="WW8Num15z0"/>
    <w:qFormat/>
    <w:rPr/>
  </w:style>
  <w:style w:type="character" w:styleId="WW8Num16z0">
    <w:name w:val="WW8Num16z0"/>
    <w:qFormat/>
    <w:rPr>
      <w:rFonts w:ascii="Times New Roman" w:hAnsi="Times New Roman" w:cs="Times New Roman"/>
      <w:b/>
      <w:i w:val="false"/>
      <w:sz w:val="24"/>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b w:val="false"/>
      <w:i w:val="false"/>
      <w:caps/>
      <w:strike w:val="false"/>
      <w:dstrike w:val="false"/>
      <w:outline w:val="false"/>
      <w:shadow w:val="false"/>
      <w:vanish w:val="false"/>
      <w:color w:val="auto"/>
      <w:position w:val="0"/>
      <w:sz w:val="24"/>
      <w:u w:val="none"/>
      <w:vertAlign w:val="baseline"/>
    </w:rPr>
  </w:style>
  <w:style w:type="character" w:styleId="WW8Num21z1">
    <w:name w:val="WW8Num21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2z0">
    <w:name w:val="WW8Num22z0"/>
    <w:qFormat/>
    <w:rPr/>
  </w:style>
  <w:style w:type="character" w:styleId="WW8Num24z0">
    <w:name w:val="WW8Num24z0"/>
    <w:qFormat/>
    <w:rPr/>
  </w:style>
  <w:style w:type="character" w:styleId="WW8Num25z0">
    <w:name w:val="WW8Num25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4"/>
      <w:sz w:val="14"/>
      <w:u w:val="none"/>
      <w:vertAlign w:val="baseline"/>
      <w:lang w:val="en-CA" w:eastAsia="en-CA"/>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FootnoteText">
    <w:name w:val="footnote text"/>
    <w:basedOn w:val="Normal"/>
    <w:pPr>
      <w:ind w:hanging="720" w:start="720" w:end="0"/>
    </w:pPr>
    <w:rPr>
      <w:sz w:val="16"/>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StandardL1">
    <w:name w:val="Standard_L1"/>
    <w:basedOn w:val="Normal"/>
    <w:qFormat/>
    <w:pPr>
      <w:numPr>
        <w:ilvl w:val="0"/>
        <w:numId w:val="2"/>
      </w:numPr>
      <w:spacing w:before="0" w:after="240"/>
      <w:outlineLvl w:val="0"/>
    </w:pPr>
    <w:rPr/>
  </w:style>
  <w:style w:type="paragraph" w:styleId="BodyTextIndent">
    <w:name w:val="Body Text Indent"/>
    <w:basedOn w:val="Normal"/>
    <w:pPr>
      <w:suppressAutoHyphens w:val="true"/>
      <w:spacing w:before="0" w:after="480"/>
      <w:ind w:firstLine="720" w:start="0" w:end="0"/>
      <w:jc w:val="start"/>
    </w:pPr>
    <w:rPr/>
  </w:style>
  <w:style w:type="paragraph" w:styleId="BlockText">
    <w:name w:val="Block Text"/>
    <w:basedOn w:val="Normal"/>
    <w:qFormat/>
    <w:pPr>
      <w:tabs>
        <w:tab w:val="left" w:pos="-720" w:leader="none"/>
        <w:tab w:val="left" w:pos="720" w:leader="none"/>
      </w:tabs>
      <w:suppressAutoHyphens w:val="true"/>
      <w:ind w:firstLine="720" w:start="720" w:end="720"/>
    </w:pPr>
    <w:rPr>
      <w:spacing w:val="-3"/>
      <w:sz w:val="22"/>
    </w:rPr>
  </w:style>
  <w:style w:type="paragraph" w:styleId="BodyTextIndent2">
    <w:name w:val="Body Text Indent 2"/>
    <w:basedOn w:val="Normal"/>
    <w:qFormat/>
    <w:pPr>
      <w:tabs>
        <w:tab w:val="clear" w:pos="720"/>
        <w:tab w:val="left" w:pos="-720" w:leader="none"/>
        <w:tab w:val="left" w:pos="0" w:leader="none"/>
      </w:tabs>
      <w:suppressAutoHyphens w:val="true"/>
      <w:ind w:hanging="720" w:start="0" w:end="0"/>
    </w:pPr>
    <w:rPr>
      <w:spacing w:val="-3"/>
    </w:rPr>
  </w:style>
  <w:style w:type="paragraph" w:styleId="BodyTextIndent3">
    <w:name w:val="Body Text Indent 3"/>
    <w:basedOn w:val="Normal"/>
    <w:qFormat/>
    <w:pPr>
      <w:ind w:hanging="720" w:start="1440" w:end="0"/>
    </w:pPr>
    <w:rPr>
      <w:lang w:val="en-CA" w:eastAsia="en-C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2001-11-06T12:49:00Z</dcterms:created>
  <dc:creator>Trish Krokosh</dc:creator>
  <dc:description/>
  <dc:language>en-CA</dc:language>
  <cp:lastModifiedBy>mark powell</cp:lastModifiedBy>
  <cp:lastPrinted>2001-11-06T08:19:00Z</cp:lastPrinted>
  <dcterms:modified xsi:type="dcterms:W3CDTF">2001-11-06T12:49:00Z</dcterms:modified>
  <cp:revision>3</cp:revision>
  <dc:subject/>
  <dc:title>MacPac 8.0 Normal template</dc:title>
</cp:coreProperties>
</file>