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media/image1.wmf" ContentType="image/x-wmf"/>
  <Override PartName="/word/media/image2.wmf" ContentType="image/x-wmf"/>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20"/>
        <w:jc w:val="both"/>
        <w:rPr>
          <w:rFonts w:ascii="Arial" w:hAnsi="Arial" w:cs="Arial"/>
        </w:rPr>
      </w:pPr>
      <w:r>
        <w:rPr>
          <w:rFonts w:cs="Arial" w:ascii="Arial" w:hAnsi="Arial"/>
        </w:rPr>
      </w:r>
    </w:p>
    <w:p>
      <w:pPr>
        <w:pStyle w:val="Heading6"/>
        <w:spacing w:before="100" w:after="120"/>
        <w:ind w:hanging="0" w:start="0"/>
        <w:rPr>
          <w:rFonts w:ascii="Arial" w:hAnsi="Arial" w:cs="Arial"/>
          <w:sz w:val="24"/>
        </w:rPr>
      </w:pPr>
      <w:r>
        <w:rPr>
          <w:rFonts w:cs="Arial" w:ascii="Arial" w:hAnsi="Arial"/>
          <w:sz w:val="24"/>
        </w:rPr>
        <w:t>Framework (Introduction to this document)</w:t>
      </w:r>
    </w:p>
    <w:p>
      <w:pPr>
        <w:pStyle w:val="Normal"/>
        <w:spacing w:before="100" w:after="120"/>
        <w:jc w:val="both"/>
        <w:rPr/>
      </w:pPr>
      <w:r>
        <w:rPr>
          <w:rFonts w:cs="Arial" w:ascii="Arial" w:hAnsi="Arial"/>
        </w:rPr>
        <w:t>This document is an outgrowth of discussions that have taken place over the last year or so between GISB, EEI, AGA, and participants in the CUBR/EEI/NEMA/EPSA Uniform Business Practices effort of the last two years.  All the parties agree that some uniformity of practices is desirable to all participants in the energy marketplace--customers, energy suppliers, utilities, and service providers alike.  GISB laid out a possible path to achieve some standardization in their proposal for an Energy Industry Standards Board, which, after the inclusion of interested party comment became known as “</w:t>
      </w:r>
      <w:r>
        <w:rPr>
          <w:rFonts w:cs="Arial" w:ascii="Arial" w:hAnsi="Arial"/>
          <w:u w:val="single"/>
        </w:rPr>
        <w:t>Strawman 2 – In Consideration of an Energy Industry Standards Board</w:t>
      </w:r>
      <w:r>
        <w:rPr>
          <w:rFonts w:cs="Arial" w:ascii="Arial" w:hAnsi="Arial"/>
        </w:rPr>
        <w:t>”.  The “Strawman 2” has become the starting point for further discussions.</w:t>
      </w:r>
    </w:p>
    <w:p>
      <w:pPr>
        <w:pStyle w:val="BodyText"/>
        <w:widowControl w:val="false"/>
        <w:spacing w:before="100" w:after="120"/>
        <w:rPr/>
      </w:pPr>
      <w:r>
        <w:rPr/>
        <w:t>With this as a starting point, a number of participants in the CUBR/EEI/NEMA/EPSA Uniform Business Practices effort (31 as of June 2001) sought to continue the UBP process and propose a permanent standards-setting organization which will continue to define best practices for retail markets.  This effort has become known as the Uniform Business Practices Retail Standards Board (UBP/RSB).  The first task is to propose a governance structure for such a standards-setting organization.  This document presents a first draft of a proposed structure for a standards-setting organization for the retail electric market, tentatively called the Retail Electric Standards Board (RESB). The retail electric market was chosen because of the greater participation of electric companies, compared to natural gas companies, to date in the UBP process.</w:t>
      </w:r>
    </w:p>
    <w:p>
      <w:pPr>
        <w:pStyle w:val="Normal"/>
        <w:spacing w:before="100" w:after="120"/>
        <w:jc w:val="both"/>
        <w:rPr>
          <w:rFonts w:ascii="Arial" w:hAnsi="Arial" w:cs="Arial"/>
        </w:rPr>
      </w:pPr>
      <w:r>
        <w:rPr>
          <w:rFonts w:cs="Arial" w:ascii="Arial" w:hAnsi="Arial"/>
        </w:rPr>
        <w:t>The proposed retail electric standards organization described in this document was developed in the context of GISB’s “Strawman 2” and borrows many of the governance principles from that document.  However, the proposed RESB is not dependent on the existence of an Energy Industry Standards Board (EISB) as proposed in that document.  The Retail Electric Standards Board, as proposed here, could begin as an independent body, if necessary, and later be folded into a larger energy industry standards-setting body such as EISB. This document provides possible scope, principles and structure for a standards-setting organization for the retail electric industry.  In the terms of the GISB Strawman 2, this document seeks to describe only a single quadrant--the Retail Electric Quadrant.  This document is not intended to redefine the EISB described in the GISB “Strawman 2”, a proposal that received general support from the UBP/RSB particpants, but rather to describe how one retail “Quadrant” might operate</w:t>
      </w:r>
    </w:p>
    <w:p>
      <w:pPr>
        <w:pStyle w:val="Normal"/>
        <w:spacing w:before="100" w:after="120"/>
        <w:jc w:val="both"/>
        <w:rPr>
          <w:rFonts w:ascii="Arial" w:hAnsi="Arial" w:cs="Arial"/>
        </w:rPr>
      </w:pPr>
      <w:r>
        <w:rPr>
          <w:rFonts w:cs="Arial" w:ascii="Arial" w:hAnsi="Arial"/>
        </w:rPr>
        <w:t>The Governance Committee believes that the basic framework of this proposed governance structure will be equally applicable to both the electric and the gas retail markets.   Inasmuch as the retail electric market was chosen for development of this example document; a companion document describing the structure of a Retail Natural Gas Standards Board needs to be developed as well. Given that many UBP/RSB participants have interests in both retail electricity and retail natural gas, the Governance Committee is eager to work with other interested parties to define a potential Retail Natural Gas Standards Board [the Retail Natural Gas Quadrant in GISB “Strawman 2” terms].</w:t>
      </w:r>
    </w:p>
    <w:p>
      <w:pPr>
        <w:pStyle w:val="Normal"/>
        <w:spacing w:before="100" w:after="120"/>
        <w:jc w:val="both"/>
        <w:rPr>
          <w:rFonts w:ascii="Arial" w:hAnsi="Arial" w:cs="Arial"/>
        </w:rPr>
      </w:pPr>
      <w:r>
        <w:rPr>
          <w:rFonts w:cs="Arial" w:ascii="Arial" w:hAnsi="Arial"/>
        </w:rPr>
        <w:t>This initial draft is intended to generate interested party comments that the participants in the UBP/RSB effort can incorporate into their thinking as they evaluate possbile standards-setting alternatives.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spacing w:before="100" w:after="120"/>
        <w:jc w:val="both"/>
        <w:rPr>
          <w:rFonts w:ascii="Arial" w:hAnsi="Arial" w:cs="Arial"/>
        </w:rPr>
      </w:pPr>
      <w:r>
        <w:rPr>
          <w:rFonts w:cs="Arial" w:ascii="Arial" w:hAnsi="Arial"/>
        </w:rPr>
      </w:r>
    </w:p>
    <w:p>
      <w:pPr>
        <w:pStyle w:val="Normal"/>
        <w:spacing w:before="100" w:after="120"/>
        <w:jc w:val="center"/>
        <w:rPr>
          <w:rFonts w:ascii="Arial" w:hAnsi="Arial" w:cs="Arial"/>
        </w:rPr>
      </w:pPr>
      <w:r>
        <w:rPr>
          <w:rFonts w:cs="Arial" w:ascii="Arial" w:hAnsi="Arial"/>
          <w:b/>
          <w:sz w:val="28"/>
        </w:rPr>
        <w:t>Retail Electric Standards Board</w:t>
      </w:r>
    </w:p>
    <w:p>
      <w:pPr>
        <w:pStyle w:val="Normal"/>
        <w:spacing w:before="100" w:after="120"/>
        <w:jc w:val="both"/>
        <w:rPr>
          <w:rFonts w:ascii="Arial" w:hAnsi="Arial" w:cs="Arial"/>
        </w:rPr>
      </w:pPr>
      <w:r>
        <w:rPr>
          <w:rFonts w:cs="Arial" w:ascii="Arial" w:hAnsi="Arial"/>
        </w:rPr>
      </w:r>
    </w:p>
    <w:p>
      <w:pPr>
        <w:pStyle w:val="Heading8"/>
        <w:spacing w:before="180" w:after="120"/>
        <w:ind w:hanging="0" w:start="0"/>
        <w:jc w:val="start"/>
        <w:rPr>
          <w:rFonts w:ascii="Arial" w:hAnsi="Arial" w:cs="Arial"/>
          <w:b/>
          <w:sz w:val="24"/>
          <w:u w:val="none"/>
        </w:rPr>
      </w:pPr>
      <w:r>
        <w:rPr>
          <w:rFonts w:cs="Arial" w:ascii="Arial" w:hAnsi="Arial"/>
          <w:b/>
          <w:sz w:val="24"/>
          <w:u w:val="none"/>
        </w:rPr>
        <w:t>Scope</w:t>
      </w:r>
    </w:p>
    <w:p>
      <w:pPr>
        <w:pStyle w:val="Normal"/>
        <w:spacing w:before="100" w:after="120"/>
        <w:jc w:val="both"/>
        <w:rPr>
          <w:rFonts w:ascii="Arial" w:hAnsi="Arial" w:cs="Arial"/>
        </w:rPr>
      </w:pPr>
      <w:r>
        <w:rPr>
          <w:rFonts w:cs="Arial" w:ascii="Arial" w:hAnsi="Arial"/>
        </w:rPr>
        <w:t xml:space="preserve">The scope of the Retail Electric Standards Board (RESB) will be to develop, maintain and publish voluntary standards designed to promote more efficient and reliable retail electric service in a competitive setting.  Such standards will apply to electronic exchange of information, record and data formats, communications protocols, and related business practices that streamline the transactional and coordination processes of the retail electricity marketplace. The standards to be established will reflect standardization and streamlining of activities chosen from among existing or reasonably anticipated policies and practices. </w:t>
      </w:r>
    </w:p>
    <w:p>
      <w:pPr>
        <w:pStyle w:val="Normal"/>
        <w:spacing w:before="100" w:after="120"/>
        <w:jc w:val="both"/>
        <w:rPr/>
      </w:pPr>
      <w:r>
        <w:rPr>
          <w:rFonts w:cs="Arial" w:ascii="Arial" w:hAnsi="Arial"/>
        </w:rPr>
        <w:t>The term “Standards”, as used in this document is meant to include model business practices as well as more quantifiable standards   Direction and input from applicable regulatory authorities concerning needs for practices to support established policies will be sought and encouraged.  Within a jurisdiction, approval and application of a standard ratified by the RESB may require regulatory action, if applicable.</w:t>
      </w:r>
    </w:p>
    <w:p>
      <w:pPr>
        <w:pStyle w:val="Normal"/>
        <w:spacing w:before="100" w:after="120"/>
        <w:jc w:val="both"/>
        <w:rPr>
          <w:rFonts w:ascii="Arial" w:hAnsi="Arial" w:cs="Arial"/>
        </w:rPr>
      </w:pPr>
      <w:r>
        <w:rPr>
          <w:rFonts w:cs="Arial" w:ascii="Arial" w:hAnsi="Arial"/>
        </w:rPr>
        <w:t xml:space="preserve">The activities of the new Organization will not extend to the development of standards for physical safety, physical reliability, facilities construction, equipment manufacture or the operation of electrical equipment, such as those already established and maintained by the NERC, IEEE, NFPA, UL or comparable organizations.  </w:t>
      </w:r>
    </w:p>
    <w:p>
      <w:pPr>
        <w:pStyle w:val="Normal"/>
        <w:spacing w:before="100" w:after="120"/>
        <w:jc w:val="both"/>
        <w:rPr/>
      </w:pPr>
      <w:r>
        <w:rPr>
          <w:rFonts w:cs="Arial" w:ascii="Arial" w:hAnsi="Arial"/>
          <w:highlight w:val="yellow"/>
        </w:rPr>
        <w:t>It is intended that this new organization will formalize through its standards development process and expand upon the work conducted under the auspices of the CUBR/EEI/NEMA/EPSA Uniform Business Practices effort.</w:t>
      </w:r>
      <w:r>
        <w:rPr>
          <w:rFonts w:cs="Arial" w:ascii="Arial" w:hAnsi="Arial"/>
        </w:rPr>
        <w:t xml:space="preserve"> Whether independent or as a part of a broader Energy Industry Standards Board, it is further intended that this new Organization will complement the activities of other organizations developing energy business practices/standards.  </w:t>
      </w:r>
    </w:p>
    <w:p>
      <w:pPr>
        <w:pStyle w:val="BodyText"/>
        <w:widowControl w:val="false"/>
        <w:spacing w:before="100" w:after="120"/>
        <w:rPr/>
      </w:pPr>
      <w:r>
        <w:rPr/>
        <w:t>The Retail Electric Standards Board will abide by the following principles in the conduct of its activities:</w:t>
      </w:r>
    </w:p>
    <w:p>
      <w:pPr>
        <w:pStyle w:val="Normal"/>
        <w:spacing w:before="100" w:after="120"/>
        <w:jc w:val="both"/>
        <w:rPr>
          <w:rFonts w:ascii="Arial" w:hAnsi="Arial" w:cs="Arial"/>
        </w:rPr>
      </w:pPr>
      <w:r>
        <w:rPr>
          <w:rFonts w:cs="Arial" w:ascii="Arial" w:hAnsi="Arial"/>
        </w:rPr>
      </w:r>
      <w:r>
        <w:br w:type="page"/>
      </w:r>
    </w:p>
    <w:p>
      <w:pPr>
        <w:pStyle w:val="Heading3"/>
        <w:spacing w:before="180" w:after="120"/>
        <w:ind w:hanging="0" w:start="0"/>
        <w:jc w:val="start"/>
        <w:rPr>
          <w:rFonts w:ascii="Arial" w:hAnsi="Arial" w:cs="Arial"/>
          <w:sz w:val="24"/>
          <w:u w:val="none"/>
        </w:rPr>
      </w:pPr>
      <w:r>
        <w:rPr>
          <w:rFonts w:cs="Arial" w:ascii="Arial" w:hAnsi="Arial"/>
          <w:sz w:val="24"/>
          <w:u w:val="none"/>
        </w:rPr>
        <w:t>Principles</w:t>
      </w:r>
    </w:p>
    <w:p>
      <w:pPr>
        <w:pStyle w:val="Normal"/>
        <w:spacing w:before="100" w:after="120"/>
        <w:jc w:val="both"/>
        <w:rPr/>
      </w:pPr>
      <w:r>
        <w:rPr>
          <w:rFonts w:cs="Arial" w:ascii="Arial" w:hAnsi="Arial"/>
          <w:b/>
        </w:rPr>
        <w:t xml:space="preserve">Independence </w:t>
      </w:r>
      <w:r>
        <w:rPr>
          <w:rFonts w:cs="Arial" w:ascii="Arial" w:hAnsi="Arial"/>
        </w:rPr>
        <w:t>– The standards organization should be independent of any parties with vested interests in the industry.  (Procedures that balance the various vested interests of participants, such as balanced voting and a balanced Board of Directors, are a practical way to satisfy this principle.)  While it may have informal liaisons to trade associations, other standards organizations and government agencies, it should be a separately incorporated, fully independent, organization.</w:t>
      </w:r>
    </w:p>
    <w:p>
      <w:pPr>
        <w:pStyle w:val="BodyText"/>
        <w:widowControl w:val="false"/>
        <w:spacing w:before="100" w:after="120"/>
        <w:rPr/>
      </w:pPr>
      <w:r>
        <w:rPr>
          <w:b/>
        </w:rPr>
        <w:t xml:space="preserve">Openness  </w:t>
      </w:r>
      <w:r>
        <w:rPr/>
        <w:t>-- The standards organization should conduct its activities in the open.  Openness should apply to all aspects of its organizational governance, elections and standards development processes, including work products and related meetings.  The meetings, agendas and items set for discussion and/or possible vote should be publicly noticed, and interested parties, regardless of membership should be invited to participate.</w:t>
      </w:r>
    </w:p>
    <w:p>
      <w:pPr>
        <w:pStyle w:val="BodyText"/>
        <w:widowControl w:val="false"/>
        <w:spacing w:before="100" w:after="120"/>
        <w:rPr/>
      </w:pPr>
      <w:r>
        <w:rPr>
          <w:b/>
        </w:rPr>
        <w:t xml:space="preserve">Voluntary  </w:t>
      </w:r>
      <w:r>
        <w:rPr/>
        <w:t>-- Participation in the standards organization should be voluntary and adherence to its standards should, from the standards organization's perspective, also be voluntary.  Membership should not be dependent upon whether the company seeking membership implements the standards.  The organization will not maintain any type of standards enforcement activity.</w:t>
      </w:r>
    </w:p>
    <w:p>
      <w:pPr>
        <w:pStyle w:val="BodyText"/>
        <w:widowControl w:val="false"/>
        <w:spacing w:before="100" w:after="120"/>
        <w:rPr/>
      </w:pPr>
      <w:r>
        <w:rPr>
          <w:b/>
        </w:rPr>
        <w:t>Balance of Interests</w:t>
      </w:r>
      <w:r>
        <w:rPr/>
        <w:t xml:space="preserve"> – The voting with respect to governance and standards development procedures should provide for balance between and within industry Segments participating in the standards organization so as to avoid any one interest group or group of interests having the ability to exert undue influence over any decision.  </w:t>
      </w:r>
    </w:p>
    <w:p>
      <w:pPr>
        <w:pStyle w:val="Normal"/>
        <w:spacing w:before="100" w:after="120"/>
        <w:jc w:val="both"/>
        <w:rPr/>
      </w:pPr>
      <w:r>
        <w:rPr>
          <w:rFonts w:cs="Arial" w:ascii="Arial" w:hAnsi="Arial"/>
          <w:b/>
        </w:rPr>
        <w:t>Inclusivity</w:t>
      </w:r>
      <w:r>
        <w:rPr>
          <w:rFonts w:cs="Arial" w:ascii="Arial" w:hAnsi="Arial"/>
        </w:rPr>
        <w:t xml:space="preserve"> – All industry stakeholders should be identified and associated with a Segment and Quadrant.  All interested parties are invited to participate in the activities of the standards organization and to join the organization. </w:t>
      </w:r>
    </w:p>
    <w:p>
      <w:pPr>
        <w:pStyle w:val="Normal"/>
        <w:spacing w:before="100" w:after="120"/>
        <w:jc w:val="both"/>
        <w:rPr/>
      </w:pPr>
      <w:r>
        <w:rPr>
          <w:rFonts w:cs="Arial" w:ascii="Arial" w:hAnsi="Arial"/>
          <w:b/>
        </w:rPr>
        <w:t>Consensus Based Decisions</w:t>
      </w:r>
      <w:r>
        <w:rPr>
          <w:rFonts w:cs="Arial" w:ascii="Arial" w:hAnsi="Arial"/>
        </w:rPr>
        <w:t xml:space="preserve"> -- The voting rules should be constructed so that decisions based upon consensus are encouraged.  In addition, with respect to voting upon the business standards issued or to be issued by the organization, energy Segments should be assured that each energy Segment can protect its interests by requiring both super-majorities and a minimum per Segment threshold be achieved for passage of such standards by the organization.</w:t>
      </w:r>
    </w:p>
    <w:p>
      <w:pPr>
        <w:pStyle w:val="Normal"/>
        <w:spacing w:before="100" w:after="120"/>
        <w:jc w:val="both"/>
        <w:rPr/>
      </w:pPr>
      <w:r>
        <w:rPr>
          <w:rFonts w:cs="Arial" w:ascii="Arial" w:hAnsi="Arial"/>
          <w:b/>
        </w:rPr>
        <w:t>No Advocacy</w:t>
      </w:r>
      <w:r>
        <w:rPr>
          <w:rFonts w:cs="Arial" w:ascii="Arial" w:hAnsi="Arial"/>
        </w:rPr>
        <w:t xml:space="preserve"> – The standards organization should be prohibited from taking advocacy positions on its standards as a party to any proceeding before a governmental agency.  This is not intended to preclude the organization’s duly authorized representatives from educating or communicating with any group as to the organization’s procedures and/or work product(s). </w:t>
      </w:r>
    </w:p>
    <w:p>
      <w:pPr>
        <w:pStyle w:val="Normal"/>
        <w:spacing w:before="100" w:after="120"/>
        <w:jc w:val="both"/>
        <w:rPr/>
      </w:pPr>
      <w:r>
        <w:rPr>
          <w:rFonts w:cs="Arial" w:ascii="Arial" w:hAnsi="Arial"/>
          <w:b/>
        </w:rPr>
        <w:t>Membership Driven</w:t>
      </w:r>
      <w:r>
        <w:rPr>
          <w:rFonts w:cs="Arial" w:ascii="Arial" w:hAnsi="Arial"/>
        </w:rPr>
        <w:t xml:space="preserve"> – The standards organization should be membership driven.  The paid staff should perform administrative functions to support the organization's activities.  Requests for standard(s) should be proposed by identified persons and not by the organization or its committees and subcommittees.  The organization’s staff should neither have a vote nor a role with respect to conducting the affairs of the organization other than to provide ministerial functions.  </w:t>
      </w:r>
    </w:p>
    <w:p>
      <w:pPr>
        <w:pStyle w:val="Normal"/>
        <w:spacing w:before="100" w:after="120"/>
        <w:jc w:val="both"/>
        <w:rPr/>
      </w:pPr>
      <w:r>
        <w:rPr>
          <w:rFonts w:cs="Arial" w:ascii="Arial" w:hAnsi="Arial"/>
          <w:b/>
        </w:rPr>
        <w:t xml:space="preserve">Develop Practices, Not Policy </w:t>
      </w:r>
      <w:r>
        <w:rPr>
          <w:rFonts w:cs="Arial" w:ascii="Arial" w:hAnsi="Arial"/>
        </w:rPr>
        <w:t xml:space="preserve">– The Committees, Subcommittees and Task Forces of the standards organization should endeavor to not create policy in their standards development activities absent being requested to do so by an applicable regulatory agency.    </w:t>
      </w:r>
    </w:p>
    <w:p>
      <w:pPr>
        <w:pStyle w:val="Normal"/>
        <w:spacing w:before="100" w:after="120"/>
        <w:jc w:val="both"/>
        <w:rPr/>
      </w:pPr>
      <w:r>
        <w:rPr>
          <w:rFonts w:cs="Arial" w:ascii="Arial" w:hAnsi="Arial"/>
          <w:b/>
        </w:rPr>
        <w:t>Incorporate Best Practices</w:t>
      </w:r>
      <w:r>
        <w:rPr>
          <w:rFonts w:cs="Arial" w:ascii="Arial" w:hAnsi="Arial"/>
        </w:rPr>
        <w:t xml:space="preserve"> – To the extent reasonable, the standards to be established should reflect standardization and streamlining of activities chosen as best practices from among existing and reasonably anticipated policies and practices.</w:t>
      </w:r>
    </w:p>
    <w:p>
      <w:pPr>
        <w:pStyle w:val="Normal"/>
        <w:spacing w:before="100" w:after="120"/>
        <w:jc w:val="both"/>
        <w:rPr/>
      </w:pPr>
      <w:r>
        <w:rPr>
          <w:rFonts w:cs="Arial" w:ascii="Arial" w:hAnsi="Arial"/>
          <w:b/>
        </w:rPr>
        <w:t>Broad Applicability</w:t>
      </w:r>
      <w:r>
        <w:rPr>
          <w:rFonts w:cs="Arial" w:ascii="Arial" w:hAnsi="Arial"/>
        </w:rPr>
        <w:t xml:space="preserve"> – To the extent reasonable, the standards to be established should be structured such than they can be applicable to both the electric and natural gas industries.  The two industries should work together to develop suitable standards when joint standards are appropriate.  However, where operating requirements dictate the need for different approaches, discrete standards will be established separately by each industry (or quadrant).</w:t>
      </w:r>
    </w:p>
    <w:p>
      <w:pPr>
        <w:pStyle w:val="Normal"/>
        <w:spacing w:before="100" w:after="120"/>
        <w:jc w:val="both"/>
        <w:rPr/>
      </w:pPr>
      <w:r>
        <w:rPr>
          <w:rFonts w:cs="Arial" w:ascii="Arial" w:hAnsi="Arial"/>
          <w:b/>
        </w:rPr>
        <w:t>ANSI Compliance</w:t>
      </w:r>
      <w:r>
        <w:rPr>
          <w:rFonts w:cs="Arial" w:ascii="Arial" w:hAnsi="Arial"/>
        </w:rPr>
        <w:t xml:space="preserve"> – The RESB will strive to operate with openness, a balance of interests, due process (including an appeal process), and consensus decision-making such that it complies with the National Technology and Transfer Act of 1995 as implemented by OMB Circular A-119; so that it operates in compliance with ANSI guidelines, whether or not ANSI accreditation is sought.  </w:t>
      </w:r>
    </w:p>
    <w:p>
      <w:pPr>
        <w:pStyle w:val="Normal"/>
        <w:spacing w:before="100" w:after="120"/>
        <w:jc w:val="both"/>
        <w:rPr>
          <w:rFonts w:ascii="Arial" w:hAnsi="Arial" w:cs="Arial"/>
          <w:i/>
          <w:i/>
        </w:rPr>
      </w:pPr>
      <w:r>
        <w:rPr>
          <w:rFonts w:cs="Arial" w:ascii="Arial" w:hAnsi="Arial"/>
          <w:b/>
          <w:highlight w:val="yellow"/>
        </w:rPr>
        <w:t>Organizational Sunset</w:t>
      </w:r>
      <w:r>
        <w:rPr>
          <w:rFonts w:cs="Arial" w:ascii="Arial" w:hAnsi="Arial"/>
          <w:highlight w:val="yellow"/>
        </w:rPr>
        <w:t xml:space="preserve"> – The RESB should operate for a defined period of time, after which it should cease operation unless the membership affirmatively votes to continue for a subsequent defined period of time. </w:t>
      </w:r>
    </w:p>
    <w:p>
      <w:pPr>
        <w:pStyle w:val="Normal"/>
        <w:spacing w:before="100" w:after="120"/>
        <w:jc w:val="both"/>
        <w:rPr>
          <w:rFonts w:ascii="Tahoma" w:hAnsi="Tahoma" w:cs="Tahoma"/>
          <w:i/>
          <w:i/>
        </w:rPr>
      </w:pPr>
      <w:r>
        <w:rPr>
          <w:rFonts w:cs="Tahoma" w:ascii="Tahoma" w:hAnsi="Tahoma"/>
          <w:i/>
        </w:rPr>
      </w:r>
      <w:r>
        <w:br w:type="page"/>
      </w:r>
    </w:p>
    <w:p>
      <w:pPr>
        <w:pStyle w:val="Heading3"/>
        <w:spacing w:before="180" w:after="120"/>
        <w:ind w:hanging="0" w:start="0"/>
        <w:jc w:val="both"/>
        <w:rPr>
          <w:rFonts w:ascii="Arial" w:hAnsi="Arial" w:cs="Arial"/>
          <w:sz w:val="24"/>
          <w:u w:val="none"/>
        </w:rPr>
      </w:pPr>
      <w:r>
        <w:rPr>
          <w:rFonts w:cs="Arial" w:ascii="Arial" w:hAnsi="Arial"/>
          <w:sz w:val="24"/>
          <w:u w:val="none"/>
        </w:rPr>
        <w:t>Possible Organizational Structures</w:t>
      </w:r>
    </w:p>
    <w:p>
      <w:pPr>
        <w:pStyle w:val="FootnoteText"/>
        <w:spacing w:before="100" w:after="120"/>
        <w:jc w:val="both"/>
        <w:rPr>
          <w:rFonts w:ascii="Arial" w:hAnsi="Arial" w:cs="Arial"/>
        </w:rPr>
      </w:pPr>
      <w:r>
        <w:rPr>
          <w:rFonts w:cs="Arial" w:ascii="Arial" w:hAnsi="Arial"/>
        </w:rPr>
        <w:t xml:space="preserve">This document discusses two organizational options for a Retail Electric Standards Board: </w:t>
      </w:r>
    </w:p>
    <w:p>
      <w:pPr>
        <w:pStyle w:val="FootnoteText"/>
        <w:numPr>
          <w:ilvl w:val="0"/>
          <w:numId w:val="2"/>
        </w:numPr>
        <w:tabs>
          <w:tab w:val="clear" w:pos="720"/>
        </w:tabs>
        <w:spacing w:before="100" w:after="120"/>
        <w:ind w:hanging="360" w:start="1080" w:end="0"/>
        <w:jc w:val="both"/>
        <w:rPr>
          <w:rFonts w:ascii="Arial" w:hAnsi="Arial" w:cs="Arial"/>
        </w:rPr>
      </w:pPr>
      <w:r>
        <w:rPr>
          <w:rFonts w:cs="Arial" w:ascii="Arial" w:hAnsi="Arial"/>
        </w:rPr>
        <w:t xml:space="preserve">as an independent standards organization, and </w:t>
      </w:r>
    </w:p>
    <w:p>
      <w:pPr>
        <w:pStyle w:val="FootnoteText"/>
        <w:numPr>
          <w:ilvl w:val="0"/>
          <w:numId w:val="2"/>
        </w:numPr>
        <w:tabs>
          <w:tab w:val="clear" w:pos="720"/>
        </w:tabs>
        <w:spacing w:before="100" w:after="120"/>
        <w:ind w:hanging="360" w:start="1080" w:end="0"/>
        <w:jc w:val="both"/>
        <w:rPr>
          <w:rFonts w:ascii="Arial" w:hAnsi="Arial" w:cs="Arial"/>
        </w:rPr>
      </w:pPr>
      <w:r>
        <w:rPr>
          <w:rFonts w:cs="Arial" w:ascii="Arial" w:hAnsi="Arial"/>
        </w:rPr>
        <w:t xml:space="preserve">as a Quadrant specializing in retail electric standards within an overarching Energy Industry Standards Board (EISB) covering the wholesale and retail aspects of both electric and natural gas markets.  </w:t>
      </w:r>
    </w:p>
    <w:p>
      <w:pPr>
        <w:pStyle w:val="FootnoteText"/>
        <w:spacing w:before="100" w:after="120"/>
        <w:jc w:val="both"/>
        <w:rPr>
          <w:rFonts w:ascii="Arial" w:hAnsi="Arial" w:cs="Arial"/>
        </w:rPr>
      </w:pPr>
      <w:r>
        <w:rPr>
          <w:rFonts w:cs="Arial" w:ascii="Arial" w:hAnsi="Arial"/>
        </w:rPr>
        <w:t>A third organizational structure is possible, involving development of a Retail Standards Board comprised of retail electric and retail natural gas market participants, but not participants in wholesale markets. Such an organization is of sufficient similarity to the concept of an Energy Industry Standards Board that the two structures are considered nearly interchangeable in concept and impact on a subordinate single industry standards board.  As such, all subsequent discussion of a RESB under an EISB structure may also be construed as a proposal for a RESB under a Retail Standards Board, and no separate discussion will be presented.</w:t>
      </w:r>
    </w:p>
    <w:p>
      <w:pPr>
        <w:pStyle w:val="FootnoteText"/>
        <w:spacing w:before="100" w:after="120"/>
        <w:jc w:val="both"/>
        <w:rPr>
          <w:rFonts w:ascii="Arial" w:hAnsi="Arial" w:cs="Arial"/>
        </w:rPr>
      </w:pPr>
      <w:r>
        <w:rPr>
          <w:rFonts w:cs="Arial" w:ascii="Arial" w:hAnsi="Arial"/>
        </w:rPr>
        <w:t>The model for an overarching standards board is largely that proposed by GISB in the Energy Standards Board Framework (Strawman 2) of February 2001.  Within this construct, the Retail Electric Standards Board will fill the role of the Retail Electric Quadrant, as highlighted in the attached excerpt from that document (Appendix “A”).</w:t>
      </w:r>
    </w:p>
    <w:p>
      <w:pPr>
        <w:pStyle w:val="FootnoteText"/>
        <w:spacing w:before="100" w:after="120"/>
        <w:jc w:val="both"/>
        <w:rPr>
          <w:rFonts w:ascii="Arial" w:hAnsi="Arial" w:cs="Arial"/>
        </w:rPr>
      </w:pPr>
      <w:r>
        <w:rPr>
          <w:rFonts w:cs="Arial" w:ascii="Arial" w:hAnsi="Arial"/>
        </w:rPr>
        <w:t>A key facet of the proposed organization is that if an RESB becomes part of a broader standards-setting organization, each component organization (Quadrant) is given an equal vote with the other component organizations (Quadrants) through a weighting scheme.  This allows the number of Segments and the number of Board members to be elected from each Segment to meet the needs/desires of the component organization without disturbing balanced voting.</w:t>
      </w:r>
    </w:p>
    <w:p>
      <w:pPr>
        <w:pStyle w:val="FootnoteText"/>
        <w:spacing w:before="100" w:after="120"/>
        <w:jc w:val="both"/>
        <w:rPr>
          <w:rFonts w:ascii="Arial" w:hAnsi="Arial" w:cs="Arial"/>
          <w:b/>
        </w:rPr>
      </w:pPr>
      <w:r>
        <w:rPr>
          <w:rFonts w:cs="Arial" w:ascii="Arial" w:hAnsi="Arial"/>
          <w:b/>
        </w:rPr>
        <w:t>Transitional Organization</w:t>
      </w:r>
    </w:p>
    <w:p>
      <w:pPr>
        <w:pStyle w:val="FootnoteText"/>
        <w:spacing w:before="100" w:after="120"/>
        <w:jc w:val="both"/>
        <w:rPr>
          <w:rFonts w:ascii="Arial" w:hAnsi="Arial" w:cs="Arial"/>
        </w:rPr>
      </w:pPr>
      <w:r>
        <w:rPr>
          <w:rFonts w:cs="Arial" w:ascii="Arial" w:hAnsi="Arial"/>
        </w:rPr>
        <w:t>The independent model could also serve as a transitional organization to allow development of the Retail Electric Standards Board to proceed at a different pace than other Quadrants of an overall energy standards organization (EISB).  If events demonstrate that a stand-alone Retail Electric Standards Board will be required until such time as an EISB might be formed, a transition plan from stand-alone status to quadrant status in a future EISB will be added to this document.</w:t>
      </w:r>
    </w:p>
    <w:p>
      <w:pPr>
        <w:pStyle w:val="FootnoteText"/>
        <w:spacing w:before="100" w:after="120"/>
        <w:jc w:val="both"/>
        <w:rPr>
          <w:rFonts w:ascii="Arial" w:hAnsi="Arial" w:cs="Arial"/>
        </w:rPr>
      </w:pPr>
      <w:r>
        <w:rPr>
          <w:rFonts w:cs="Arial" w:ascii="Arial" w:hAnsi="Arial"/>
        </w:rPr>
      </w:r>
      <w:r>
        <w:br w:type="page"/>
      </w:r>
    </w:p>
    <w:p>
      <w:pPr>
        <w:pStyle w:val="FootnoteText"/>
        <w:spacing w:before="100" w:after="120"/>
        <w:rPr>
          <w:rFonts w:ascii="Arial" w:hAnsi="Arial" w:cs="Arial"/>
          <w:b/>
        </w:rPr>
      </w:pPr>
      <w:r>
        <w:object w:dxaOrig="11388" w:dyaOrig="8092">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00.8pt;margin-top:24.9pt;width:285.25pt;height:202.7pt;mso-wrap-distance-left:9.05pt;mso-wrap-distance-right:9.05pt;mso-position-horizontal-relative:text;mso-position-vertical-relative:text" filled="f" o:ole="">
            <v:imagedata r:id="rId5" o:title=""/>
            <w10:wrap type="topAndBottom"/>
          </v:shape>
          <o:OLEObject Type="Embed" ProgID="" ShapeID="ole_rId4" DrawAspect="Content" ObjectID="_178184507" r:id="rId4"/>
        </w:object>
      </w:r>
      <w:r>
        <w:rPr>
          <w:rFonts w:cs="Arial" w:ascii="Arial" w:hAnsi="Arial"/>
          <w:b/>
        </w:rPr>
        <w:t>Independent standards organization:</w:t>
      </w:r>
    </w:p>
    <w:p>
      <w:pPr>
        <w:pStyle w:val="FootnoteText"/>
        <w:spacing w:before="100" w:after="120"/>
        <w:rPr>
          <w:rFonts w:ascii="Arial" w:hAnsi="Arial" w:cs="Arial"/>
          <w:b/>
        </w:rPr>
      </w:pPr>
      <w:r>
        <w:rPr>
          <w:rFonts w:cs="Arial" w:ascii="Arial" w:hAnsi="Arial"/>
          <w:b/>
        </w:rPr>
      </w:r>
    </w:p>
    <w:p>
      <w:pPr>
        <w:pStyle w:val="FootnoteText"/>
        <w:spacing w:before="100" w:after="120"/>
        <w:rPr>
          <w:rFonts w:ascii="Arial" w:hAnsi="Arial" w:cs="Arial"/>
          <w:b/>
        </w:rPr>
      </w:pPr>
      <w:r>
        <w:rPr>
          <w:rFonts w:cs="Arial" w:ascii="Arial" w:hAnsi="Arial"/>
          <w:b/>
        </w:rPr>
      </w:r>
    </w:p>
    <w:p>
      <w:pPr>
        <w:pStyle w:val="FootnoteText"/>
        <w:spacing w:before="100" w:after="120"/>
        <w:rPr>
          <w:rFonts w:ascii="Arial" w:hAnsi="Arial" w:cs="Arial"/>
          <w:b/>
        </w:rPr>
      </w:pPr>
      <w:r>
        <w:rPr>
          <w:rFonts w:cs="Arial" w:ascii="Arial" w:hAnsi="Arial"/>
          <w:b/>
        </w:rPr>
        <w:t>Part of an overall EISB Organization:</w:t>
      </w:r>
    </w:p>
    <w:p>
      <w:pPr>
        <w:pStyle w:val="FootnoteText"/>
        <w:spacing w:before="100" w:after="120"/>
        <w:rPr>
          <w:rFonts w:ascii="Arial" w:hAnsi="Arial" w:cs="Arial"/>
          <w:b/>
        </w:rPr>
      </w:pPr>
      <w:r>
        <w:rPr>
          <w:rFonts w:cs="Arial" w:ascii="Arial" w:hAnsi="Arial"/>
          <w:b/>
        </w:rPr>
        <w:object w:dxaOrig="14665" w:dyaOrig="12633">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57.6pt;margin-top:403.2pt;width:366.65pt;height:315.85pt;mso-wrap-distance-left:9.05pt;mso-wrap-distance-right:9.05pt;mso-position-horizontal-relative:text;mso-position-vertical-relative:page" filled="f" o:ole="">
            <v:imagedata r:id="rId7" o:title=""/>
            <w10:wrap type="topAndBottom"/>
          </v:shape>
          <o:OLEObject Type="Embed" ProgID="" ShapeID="ole_rId6" DrawAspect="Content" ObjectID="_2104679717" r:id="rId6"/>
        </w:object>
      </w:r>
      <w:r>
        <w:br w:type="page"/>
      </w:r>
    </w:p>
    <w:p>
      <w:pPr>
        <w:pStyle w:val="BodyText"/>
        <w:widowControl w:val="false"/>
        <w:spacing w:before="0" w:after="120"/>
        <w:jc w:val="start"/>
        <w:rPr>
          <w:b/>
          <w:sz w:val="24"/>
        </w:rPr>
      </w:pPr>
      <w:r>
        <w:rPr>
          <w:b/>
          <w:sz w:val="24"/>
        </w:rPr>
        <w:t>High level Organization of a Retail Electric Standards Board</w:t>
      </w:r>
    </w:p>
    <w:p>
      <w:pPr>
        <w:pStyle w:val="BodyText"/>
        <w:widowControl w:val="false"/>
        <w:spacing w:before="0" w:after="120"/>
        <w:rPr/>
      </w:pPr>
      <w:r>
        <w:rPr>
          <w:rFonts w:eastAsia="Arial"/>
        </w:rPr>
        <w:t xml:space="preserve"> </w:t>
      </w:r>
      <w:r>
        <w:rPr/>
        <w:t>Whether or not the RESB remains a stand-alone organization, is a part of a Retail Standards Board, or becomes a Quadrant in a proposed Energy Industry Standards Board, the concept of Segments as stated in the “Strawman 2” document will be adopted.  All industry participants with a business interest in retail electric marketplace should be able to join the RESB in one of its defined segments. The RESB will incorporate balanced voting with each defined Segment having an equal vote.</w:t>
      </w:r>
    </w:p>
    <w:p>
      <w:pPr>
        <w:pStyle w:val="BodyText"/>
        <w:widowControl w:val="false"/>
        <w:spacing w:before="0" w:after="120"/>
        <w:rPr/>
      </w:pPr>
      <w:r>
        <w:rPr/>
      </w:r>
    </w:p>
    <w:p>
      <w:pPr>
        <w:pStyle w:val="BodyText"/>
        <w:widowControl w:val="false"/>
        <w:spacing w:before="0" w:after="120"/>
        <w:rPr/>
      </w:pPr>
      <w:r>
        <w:rPr/>
        <w:t>For RESB (or the Retail Electric Quadrant), the Segments may be defined as:</w:t>
      </w:r>
    </w:p>
    <w:tbl>
      <w:tblPr>
        <w:tblW w:w="9360" w:type="dxa"/>
        <w:jc w:val="start"/>
        <w:tblInd w:w="108" w:type="dxa"/>
        <w:tblLayout w:type="fixed"/>
        <w:tblCellMar>
          <w:top w:w="0" w:type="dxa"/>
          <w:start w:w="108" w:type="dxa"/>
          <w:bottom w:w="0" w:type="dxa"/>
          <w:end w:w="108" w:type="dxa"/>
        </w:tblCellMar>
      </w:tblPr>
      <w:tblGrid>
        <w:gridCol w:w="2340"/>
        <w:gridCol w:w="7020"/>
      </w:tblGrid>
      <w:tr>
        <w:trPr>
          <w:tblHeader w:val="true"/>
        </w:trPr>
        <w:tc>
          <w:tcPr>
            <w:tcW w:w="2340" w:type="dxa"/>
            <w:tcBorders>
              <w:top w:val="single" w:sz="8" w:space="0" w:color="000000"/>
              <w:bottom w:val="single" w:sz="8" w:space="0" w:color="000000"/>
            </w:tcBorders>
          </w:tcPr>
          <w:p>
            <w:pPr>
              <w:pStyle w:val="Normal"/>
              <w:spacing w:before="100" w:after="120"/>
              <w:rPr>
                <w:rFonts w:ascii="Arial" w:hAnsi="Arial" w:cs="Arial"/>
                <w:b/>
              </w:rPr>
            </w:pPr>
            <w:r>
              <w:rPr>
                <w:rFonts w:cs="Arial" w:ascii="Arial" w:hAnsi="Arial"/>
                <w:b/>
              </w:rPr>
              <w:t>Segments</w:t>
            </w:r>
          </w:p>
        </w:tc>
        <w:tc>
          <w:tcPr>
            <w:tcW w:w="7020" w:type="dxa"/>
            <w:tcBorders>
              <w:top w:val="single" w:sz="8" w:space="0" w:color="000000"/>
              <w:bottom w:val="single" w:sz="8" w:space="0" w:color="000000"/>
            </w:tcBorders>
          </w:tcPr>
          <w:p>
            <w:pPr>
              <w:pStyle w:val="Normal"/>
              <w:spacing w:before="100" w:after="120"/>
              <w:rPr>
                <w:rFonts w:ascii="Arial" w:hAnsi="Arial" w:cs="Arial"/>
                <w:b/>
              </w:rPr>
            </w:pPr>
            <w:r>
              <w:rPr>
                <w:rFonts w:cs="Arial" w:ascii="Arial" w:hAnsi="Arial"/>
                <w:b/>
              </w:rPr>
              <w:t>Description</w:t>
            </w:r>
          </w:p>
        </w:tc>
      </w:tr>
      <w:tr>
        <w:trPr/>
        <w:tc>
          <w:tcPr>
            <w:tcW w:w="2340" w:type="dxa"/>
            <w:tcBorders/>
          </w:tcPr>
          <w:p>
            <w:pPr>
              <w:pStyle w:val="Normal"/>
              <w:spacing w:before="100" w:after="120"/>
              <w:jc w:val="both"/>
              <w:rPr>
                <w:rFonts w:ascii="Arial" w:hAnsi="Arial" w:cs="Arial"/>
              </w:rPr>
            </w:pPr>
            <w:r>
              <w:rPr>
                <w:rFonts w:cs="Arial" w:ascii="Arial" w:hAnsi="Arial"/>
              </w:rPr>
              <w:t>Suppliers</w:t>
            </w:r>
          </w:p>
        </w:tc>
        <w:tc>
          <w:tcPr>
            <w:tcW w:w="7020" w:type="dxa"/>
            <w:tcBorders/>
          </w:tcPr>
          <w:p>
            <w:pPr>
              <w:pStyle w:val="Normal"/>
              <w:spacing w:before="100" w:after="120"/>
              <w:jc w:val="both"/>
              <w:rPr>
                <w:rFonts w:ascii="Arial" w:hAnsi="Arial" w:cs="Arial"/>
              </w:rPr>
            </w:pPr>
            <w:r>
              <w:rPr>
                <w:rFonts w:cs="Arial" w:ascii="Arial" w:hAnsi="Arial"/>
              </w:rPr>
              <w:t>Those companies, including service providers and marketers, engaged in the competitive sale of electricity to end-users</w:t>
            </w:r>
          </w:p>
          <w:p>
            <w:pPr>
              <w:pStyle w:val="Normal"/>
              <w:spacing w:before="100" w:after="120"/>
              <w:ind w:hanging="972" w:start="972" w:end="0"/>
              <w:jc w:val="both"/>
              <w:rPr>
                <w:rFonts w:ascii="Arial" w:hAnsi="Arial" w:cs="Arial"/>
              </w:rPr>
            </w:pPr>
            <w:r>
              <w:rPr>
                <w:rFonts w:cs="Arial" w:ascii="Arial" w:hAnsi="Arial"/>
              </w:rPr>
            </w:r>
          </w:p>
        </w:tc>
      </w:tr>
      <w:tr>
        <w:trPr/>
        <w:tc>
          <w:tcPr>
            <w:tcW w:w="2340" w:type="dxa"/>
            <w:tcBorders/>
          </w:tcPr>
          <w:p>
            <w:pPr>
              <w:pStyle w:val="Normal"/>
              <w:spacing w:before="100" w:after="120"/>
              <w:jc w:val="both"/>
              <w:rPr>
                <w:rFonts w:ascii="Arial" w:hAnsi="Arial" w:cs="Arial"/>
              </w:rPr>
            </w:pPr>
            <w:r>
              <w:rPr>
                <w:rFonts w:cs="Arial" w:ascii="Arial" w:hAnsi="Arial"/>
              </w:rPr>
              <w:t>Distributors</w:t>
            </w:r>
          </w:p>
        </w:tc>
        <w:tc>
          <w:tcPr>
            <w:tcW w:w="7020" w:type="dxa"/>
            <w:tcBorders/>
          </w:tcPr>
          <w:p>
            <w:pPr>
              <w:pStyle w:val="Normal"/>
              <w:spacing w:before="100" w:after="120"/>
              <w:jc w:val="both"/>
              <w:rPr>
                <w:rFonts w:ascii="Arial" w:hAnsi="Arial" w:cs="Arial"/>
              </w:rPr>
            </w:pPr>
            <w:r>
              <w:rPr>
                <w:rFonts w:cs="Arial" w:ascii="Arial" w:hAnsi="Arial"/>
              </w:rPr>
              <w:t>Those companies engaged in the local distribution of electricity.</w:t>
            </w:r>
          </w:p>
          <w:p>
            <w:pPr>
              <w:pStyle w:val="Header"/>
              <w:tabs>
                <w:tab w:val="clear" w:pos="4320"/>
                <w:tab w:val="clear" w:pos="8640"/>
              </w:tabs>
              <w:spacing w:before="100" w:after="120"/>
              <w:ind w:start="972" w:end="0"/>
              <w:jc w:val="both"/>
              <w:rPr>
                <w:rFonts w:ascii="Arial" w:hAnsi="Arial" w:cs="Arial"/>
                <w:i/>
                <w:i/>
                <w:sz w:val="16"/>
              </w:rPr>
            </w:pPr>
            <w:r>
              <w:rPr>
                <w:rFonts w:cs="Arial" w:ascii="Arial" w:hAnsi="Arial"/>
                <w:i/>
                <w:sz w:val="16"/>
              </w:rPr>
            </w:r>
          </w:p>
        </w:tc>
      </w:tr>
      <w:tr>
        <w:trPr/>
        <w:tc>
          <w:tcPr>
            <w:tcW w:w="2340" w:type="dxa"/>
            <w:tcBorders/>
          </w:tcPr>
          <w:p>
            <w:pPr>
              <w:pStyle w:val="Normal"/>
              <w:spacing w:before="100" w:after="120"/>
              <w:rPr>
                <w:rFonts w:ascii="Arial" w:hAnsi="Arial" w:cs="Arial"/>
              </w:rPr>
            </w:pPr>
            <w:r>
              <w:rPr>
                <w:rFonts w:cs="Arial" w:ascii="Arial" w:hAnsi="Arial"/>
              </w:rPr>
              <w:t>End-Users</w:t>
            </w:r>
          </w:p>
        </w:tc>
        <w:tc>
          <w:tcPr>
            <w:tcW w:w="7020" w:type="dxa"/>
            <w:tcBorders/>
          </w:tcPr>
          <w:p>
            <w:pPr>
              <w:pStyle w:val="Header"/>
              <w:tabs>
                <w:tab w:val="clear" w:pos="4320"/>
                <w:tab w:val="clear" w:pos="8640"/>
              </w:tabs>
              <w:spacing w:before="100" w:after="120"/>
              <w:jc w:val="both"/>
              <w:rPr>
                <w:rFonts w:ascii="Arial" w:hAnsi="Arial" w:cs="Arial"/>
                <w:i/>
                <w:i/>
              </w:rPr>
            </w:pPr>
            <w:r>
              <w:rPr>
                <w:rFonts w:cs="Arial" w:ascii="Arial" w:hAnsi="Arial"/>
              </w:rPr>
              <w:t xml:space="preserve">Companies and individuals that consume electricity </w:t>
            </w:r>
          </w:p>
          <w:p>
            <w:pPr>
              <w:pStyle w:val="Header"/>
              <w:tabs>
                <w:tab w:val="clear" w:pos="4320"/>
                <w:tab w:val="clear" w:pos="8640"/>
              </w:tabs>
              <w:spacing w:before="100" w:after="120"/>
              <w:ind w:start="972" w:end="0"/>
              <w:jc w:val="both"/>
              <w:rPr>
                <w:rFonts w:ascii="Arial" w:hAnsi="Arial" w:cs="Arial"/>
                <w:i/>
                <w:i/>
                <w:sz w:val="16"/>
              </w:rPr>
            </w:pPr>
            <w:r>
              <w:rPr>
                <w:rFonts w:cs="Arial" w:ascii="Arial" w:hAnsi="Arial"/>
                <w:i/>
                <w:sz w:val="16"/>
              </w:rPr>
            </w:r>
          </w:p>
        </w:tc>
      </w:tr>
      <w:tr>
        <w:trPr/>
        <w:tc>
          <w:tcPr>
            <w:tcW w:w="2340" w:type="dxa"/>
            <w:tcBorders>
              <w:bottom w:val="single" w:sz="8" w:space="0" w:color="000000"/>
            </w:tcBorders>
          </w:tcPr>
          <w:p>
            <w:pPr>
              <w:pStyle w:val="Normal"/>
              <w:spacing w:before="100" w:after="120"/>
              <w:jc w:val="both"/>
              <w:rPr>
                <w:rFonts w:ascii="Arial" w:hAnsi="Arial" w:cs="Arial"/>
              </w:rPr>
            </w:pPr>
            <w:r>
              <w:rPr>
                <w:rFonts w:cs="Arial" w:ascii="Arial" w:hAnsi="Arial"/>
              </w:rPr>
              <w:t>Service Providers</w:t>
            </w:r>
          </w:p>
        </w:tc>
        <w:tc>
          <w:tcPr>
            <w:tcW w:w="7020" w:type="dxa"/>
            <w:tcBorders>
              <w:bottom w:val="single" w:sz="8" w:space="0" w:color="000000"/>
            </w:tcBorders>
          </w:tcPr>
          <w:p>
            <w:pPr>
              <w:pStyle w:val="Header"/>
              <w:tabs>
                <w:tab w:val="clear" w:pos="4320"/>
                <w:tab w:val="clear" w:pos="8640"/>
              </w:tabs>
              <w:spacing w:before="100" w:after="120"/>
              <w:jc w:val="both"/>
              <w:rPr>
                <w:rFonts w:ascii="Arial" w:hAnsi="Arial" w:cs="Arial"/>
              </w:rPr>
            </w:pPr>
            <w:r>
              <w:rPr>
                <w:rFonts w:cs="Arial" w:ascii="Arial" w:hAnsi="Arial"/>
              </w:rPr>
              <w:t>Companies and individuals that provide services to participants in the retail electric industry, including equipment manufacturers, equipment vendors, software providers, consultants etc.; and other companies not otherwise declared in another segment</w:t>
            </w:r>
            <w:r>
              <w:rPr>
                <w:rFonts w:cs="Arial" w:ascii="Arial" w:hAnsi="Arial"/>
                <w:i/>
              </w:rPr>
              <w:t xml:space="preserve"> </w:t>
            </w:r>
          </w:p>
        </w:tc>
      </w:tr>
    </w:tbl>
    <w:p>
      <w:pPr>
        <w:pStyle w:val="Normal"/>
        <w:spacing w:before="100" w:after="120"/>
        <w:jc w:val="both"/>
        <w:rPr>
          <w:rFonts w:ascii="Arial" w:hAnsi="Arial" w:cs="Arial"/>
          <w:b/>
        </w:rPr>
      </w:pPr>
      <w:r>
        <w:rPr>
          <w:rFonts w:cs="Arial" w:ascii="Arial" w:hAnsi="Arial"/>
          <w:b/>
        </w:rPr>
      </w:r>
    </w:p>
    <w:p>
      <w:pPr>
        <w:pStyle w:val="Normal"/>
        <w:spacing w:before="100" w:after="120"/>
        <w:jc w:val="both"/>
        <w:rPr>
          <w:rFonts w:ascii="Arial" w:hAnsi="Arial" w:cs="Arial"/>
        </w:rPr>
      </w:pPr>
      <w:r>
        <w:rPr>
          <w:rFonts w:cs="Arial" w:ascii="Arial" w:hAnsi="Arial"/>
          <w:b/>
        </w:rPr>
        <w:t>Membership  --</w:t>
      </w:r>
      <w:r>
        <w:rPr>
          <w:rFonts w:cs="Arial" w:ascii="Arial" w:hAnsi="Arial"/>
        </w:rPr>
        <w:t xml:space="preserve"> The definition of membership applies to all Segments. Members are individuals or companies participating in retail electric markets. When joining, each member declares the Segment with which they are to be identified.  </w:t>
      </w:r>
      <w:r>
        <w:rPr>
          <w:rFonts w:cs="Arial" w:ascii="Arial" w:hAnsi="Arial"/>
          <w:highlight w:val="yellow"/>
        </w:rPr>
        <w:t>For eligibility, a member should have a significant business interest in the Segment for which membership is declared.,.</w:t>
      </w:r>
      <w:r>
        <w:rPr>
          <w:rFonts w:cs="Arial" w:ascii="Arial" w:hAnsi="Arial"/>
        </w:rPr>
        <w:t xml:space="preserve">  Moreover, the representatives of the member company who participate in the activities of the standards organization should have corporate responsibility for the business interest of the Segment.  </w:t>
      </w:r>
      <w:r>
        <w:rPr>
          <w:rFonts w:cs="Arial" w:ascii="Arial" w:hAnsi="Arial"/>
          <w:highlight w:val="yellow"/>
        </w:rPr>
        <w:t>Members who cease to have a significant business interest can be removed from membership by either majority vote of their Segment membership or resolution of the Executive Committee.</w:t>
      </w:r>
    </w:p>
    <w:p>
      <w:pPr>
        <w:pStyle w:val="BodyText"/>
        <w:widowControl w:val="false"/>
        <w:spacing w:before="100" w:after="120"/>
        <w:rPr/>
      </w:pPr>
      <w:r>
        <w:rPr/>
        <w:t xml:space="preserve">Segments may elect to allow trade associations and advocacy groups to represent other parties  who would otherwise be unrepresented.  Such members must be individually approved by a simple majority of the members in the applicable Segment (as expressed by recorded vote or by written petition). Such membership comes complete with voting rights and the right to hold office within the RESB. - Other entities that are not otherwise covered by the paragraphs above, are encouraged to participate in the organization as non-voting observers.  Such observers may participate at the committee level, subject to the rules of the committee..  </w:t>
      </w:r>
    </w:p>
    <w:p>
      <w:pPr>
        <w:pStyle w:val="Normal"/>
        <w:spacing w:before="100" w:after="120"/>
        <w:jc w:val="both"/>
        <w:rPr>
          <w:rFonts w:ascii="Arial" w:hAnsi="Arial" w:cs="Arial"/>
        </w:rPr>
      </w:pPr>
      <w:r>
        <w:rPr>
          <w:rFonts w:cs="Arial" w:ascii="Arial" w:hAnsi="Arial"/>
        </w:rPr>
      </w:r>
    </w:p>
    <w:p>
      <w:pPr>
        <w:pStyle w:val="Normal"/>
        <w:spacing w:before="100" w:after="120"/>
        <w:jc w:val="both"/>
        <w:rPr>
          <w:rFonts w:ascii="Arial" w:hAnsi="Arial" w:cs="Arial"/>
        </w:rPr>
      </w:pPr>
      <w:r>
        <w:rPr>
          <w:rFonts w:cs="Arial" w:ascii="Arial" w:hAnsi="Arial"/>
        </w:rPr>
        <w:t>Multiple companies under common control within a corporate organization that desire to become members, must join individually.  Members do not extend their membership to the parent company, affiliates or subsidiaries.</w:t>
      </w:r>
    </w:p>
    <w:p>
      <w:pPr>
        <w:pStyle w:val="Normal"/>
        <w:spacing w:before="100" w:after="120"/>
        <w:jc w:val="both"/>
        <w:rPr>
          <w:rFonts w:ascii="Arial" w:hAnsi="Arial" w:cs="Arial"/>
          <w:i/>
          <w:i/>
        </w:rPr>
      </w:pPr>
      <w:r>
        <w:rPr>
          <w:rFonts w:cs="Arial" w:ascii="Arial" w:hAnsi="Arial"/>
        </w:rPr>
        <w:t xml:space="preserve">Separate corporate entities within a corporate organization can hold memberships in multiple Segments by paying multiple dues.  A corporate organization may hold multiple Executive Committee seats from separate Segments.  Irrespective of the number of memberships held by a corporation, no corporation may hold more than one seat on the Board of Directors.  </w:t>
      </w:r>
    </w:p>
    <w:p>
      <w:pPr>
        <w:pStyle w:val="BodyText"/>
        <w:widowControl w:val="false"/>
        <w:spacing w:before="100" w:after="120"/>
        <w:rPr/>
      </w:pPr>
      <w:r>
        <w:rPr/>
        <w:t>Should the RESB become part of a broader standards-setting organization, membership in the RESB shall be independent of membership in other component organizations (Quadrants).  That is, parties with significant business interests within multiple Quadrants of such an overarching standards organization may join multiple Quadrants, provided they pay the appropriate dues.</w:t>
      </w:r>
    </w:p>
    <w:p>
      <w:pPr>
        <w:pStyle w:val="Normal"/>
        <w:spacing w:before="100" w:after="120"/>
        <w:jc w:val="both"/>
        <w:rPr>
          <w:rFonts w:ascii="Arial" w:hAnsi="Arial" w:cs="Arial"/>
        </w:rPr>
      </w:pPr>
      <w:r>
        <w:rPr>
          <w:rFonts w:cs="Arial" w:ascii="Arial" w:hAnsi="Arial"/>
        </w:rPr>
        <w:t>Members vote to ratify governance changes approved by the Board of Directors and proposed standards approved by the Executive Committee without regard to their Segment identification. Only members can be considered for seats on the Board of Directors or Executive Committee, and are eligible to chair the various subcommittees of the organization.</w:t>
      </w:r>
    </w:p>
    <w:p>
      <w:pPr>
        <w:pStyle w:val="Normal"/>
        <w:spacing w:before="100" w:after="120"/>
        <w:jc w:val="both"/>
        <w:rPr>
          <w:rFonts w:ascii="Arial" w:hAnsi="Arial" w:cs="Arial"/>
        </w:rPr>
      </w:pPr>
      <w:r>
        <w:rPr>
          <w:rFonts w:cs="Arial" w:ascii="Arial" w:hAnsi="Arial"/>
        </w:rPr>
        <w:t>A member may be represented by an agent, which is defined as an individual or company representing the interests of a member of the organization, but who, itself, is not a member of the organization..</w:t>
      </w:r>
    </w:p>
    <w:p>
      <w:pPr>
        <w:pStyle w:val="Normal"/>
        <w:spacing w:before="100" w:after="120"/>
        <w:jc w:val="both"/>
        <w:rPr>
          <w:rFonts w:ascii="Arial" w:hAnsi="Arial" w:cs="Arial"/>
          <w:b/>
        </w:rPr>
      </w:pPr>
      <w:r>
        <w:rPr>
          <w:rFonts w:cs="Arial" w:ascii="Arial" w:hAnsi="Arial"/>
          <w:b/>
        </w:rPr>
      </w:r>
    </w:p>
    <w:p>
      <w:pPr>
        <w:pStyle w:val="Normal"/>
        <w:spacing w:before="100" w:after="120"/>
        <w:jc w:val="both"/>
        <w:rPr/>
      </w:pPr>
      <w:r>
        <w:rPr>
          <w:rFonts w:cs="Arial" w:ascii="Arial" w:hAnsi="Arial"/>
          <w:b/>
        </w:rPr>
        <w:t xml:space="preserve">Board of Directors – </w:t>
      </w:r>
      <w:r>
        <w:rPr>
          <w:rFonts w:cs="Arial" w:ascii="Arial" w:hAnsi="Arial"/>
        </w:rPr>
        <w:t xml:space="preserve">The Board will be comprised of sixteen (16) directors, with four members elected from each Segment.  Board members shall be elected for staggered two-year terms with two of the four Board members from each Segment having terms that expire each calendar year.  At the first Board meeting each year, the Board Members will elect a Chair and Vice Chair who will serve a one-year term. The Board will appoint a Secretary.    .  Agents for member companies are permitted to be candidates for election to positions as Board members, </w:t>
      </w:r>
    </w:p>
    <w:p>
      <w:pPr>
        <w:pStyle w:val="Normal"/>
        <w:tabs>
          <w:tab w:val="clear" w:pos="720"/>
          <w:tab w:val="left" w:pos="7317" w:leader="none"/>
        </w:tabs>
        <w:spacing w:before="100" w:after="120"/>
        <w:rPr>
          <w:rFonts w:ascii="Arial" w:hAnsi="Arial" w:cs="Arial"/>
        </w:rPr>
      </w:pPr>
      <w:r>
        <w:rPr>
          <w:rFonts w:cs="Arial" w:ascii="Arial" w:hAnsi="Arial"/>
        </w:rPr>
      </w:r>
    </w:p>
    <w:p>
      <w:pPr>
        <w:pStyle w:val="Normal"/>
        <w:tabs>
          <w:tab w:val="clear" w:pos="720"/>
          <w:tab w:val="left" w:pos="7317" w:leader="none"/>
        </w:tabs>
        <w:spacing w:before="100" w:after="120"/>
        <w:rPr>
          <w:rFonts w:ascii="Arial" w:hAnsi="Arial" w:cs="Arial"/>
        </w:rPr>
      </w:pPr>
      <w:r>
        <w:rPr>
          <w:rFonts w:cs="Arial" w:ascii="Arial" w:hAnsi="Arial"/>
        </w:rPr>
        <w:t xml:space="preserve">No more than one representative from any one corporate organization can serve on the Board of Directors of RESB, regardless of the number of individual Segment memberships held by member companies of that corporate organization.  </w:t>
      </w:r>
    </w:p>
    <w:p>
      <w:pPr>
        <w:pStyle w:val="Normal"/>
        <w:tabs>
          <w:tab w:val="clear" w:pos="720"/>
          <w:tab w:val="left" w:pos="7317" w:leader="none"/>
        </w:tabs>
        <w:spacing w:before="100" w:after="120"/>
        <w:rPr>
          <w:rFonts w:ascii="Arial" w:hAnsi="Arial" w:cs="Arial"/>
        </w:rPr>
      </w:pPr>
      <w:r>
        <w:rPr>
          <w:rFonts w:cs="Arial" w:ascii="Arial" w:hAnsi="Arial"/>
        </w:rPr>
        <w:t xml:space="preserve">The Board of Directors is responsible for funding, annual plan definition and approval, changes to the governance document and structure, and overall direction of the organization.  The Board of Directors always meets and acts “en banc.”  </w:t>
      </w:r>
    </w:p>
    <w:p>
      <w:pPr>
        <w:pStyle w:val="Normal"/>
        <w:tabs>
          <w:tab w:val="clear" w:pos="720"/>
          <w:tab w:val="left" w:pos="7317" w:leader="none"/>
        </w:tabs>
        <w:spacing w:before="100" w:after="120"/>
        <w:jc w:val="both"/>
        <w:rPr>
          <w:rFonts w:ascii="Arial" w:hAnsi="Arial" w:cs="Arial"/>
        </w:rPr>
      </w:pPr>
      <w:r>
        <w:rPr>
          <w:rFonts w:cs="Arial" w:ascii="Arial" w:hAnsi="Arial"/>
        </w:rPr>
        <w:t xml:space="preserve">Should the Retail Electric Standards Board become part of a larger EISB, these same Board members shall represent the Retail Electric Quadrant on the board of that organization with balanced voting rights equal to those of all other Quadrants and there shall be no election of a Quadrant Chairperson. </w:t>
      </w:r>
    </w:p>
    <w:p>
      <w:pPr>
        <w:pStyle w:val="Normal"/>
        <w:tabs>
          <w:tab w:val="clear" w:pos="720"/>
          <w:tab w:val="left" w:pos="7317" w:leader="none"/>
        </w:tabs>
        <w:spacing w:before="100" w:after="120"/>
        <w:jc w:val="both"/>
        <w:rPr>
          <w:rFonts w:ascii="Arial" w:hAnsi="Arial" w:cs="Arial"/>
        </w:rPr>
      </w:pPr>
      <w:r>
        <w:rPr>
          <w:rFonts w:cs="Arial" w:ascii="Arial" w:hAnsi="Arial"/>
        </w:rPr>
        <w:t xml:space="preserve">Board members are individuals who are elected to the Board from among the membership of each Segment according to Board-approved Segment Procedures.  A member is not permitted to substitute other individuals for the elected, named, member of the Board for any reason.  In the event that the Board member changes affiliation to another member within their industry Segment, the member's term will continue until its natural expiration, provided that there is no other Board member already representing that corporate organization, in which case the Board member will vacate their seat for election of a new Board member.  If in the event a Board member is no longer affiliated with their electing industry Segment, the Board member will vacate their seat for election of a new Board member.  </w:t>
      </w:r>
    </w:p>
    <w:p>
      <w:pPr>
        <w:pStyle w:val="Normal"/>
        <w:tabs>
          <w:tab w:val="clear" w:pos="720"/>
          <w:tab w:val="left" w:pos="7317" w:leader="none"/>
        </w:tabs>
        <w:spacing w:before="100" w:after="120"/>
        <w:jc w:val="both"/>
        <w:rPr/>
      </w:pPr>
      <w:r>
        <w:rPr>
          <w:rFonts w:cs="Arial" w:ascii="Arial" w:hAnsi="Arial"/>
        </w:rPr>
        <w:t xml:space="preserve">For governance or structural changes to be effected within the RESB, the Board must vote with 75% overall approval and a 50% approval of each Segment's Board members. The approved governance changes will then require a ratification vote of all members.  </w:t>
      </w:r>
      <w:r>
        <w:rPr>
          <w:rFonts w:cs="Arial" w:ascii="Arial" w:hAnsi="Arial"/>
          <w:highlight w:val="yellow"/>
        </w:rPr>
        <w:t>To be ratified, a 90% approval is required,</w:t>
      </w:r>
      <w:r>
        <w:rPr>
          <w:rFonts w:cs="Arial" w:ascii="Arial" w:hAnsi="Arial"/>
        </w:rPr>
        <w:t xml:space="preserve"> with those members who choose not to return a ballot considered as voting in favor of the Board’s action.    All other decisions of the Board are determined by a simple majority vote of the Board and 50% approval of each Segment’s Board members.  No member ratification is required.</w:t>
      </w:r>
    </w:p>
    <w:p>
      <w:pPr>
        <w:pStyle w:val="Normal"/>
        <w:tabs>
          <w:tab w:val="clear" w:pos="720"/>
          <w:tab w:val="left" w:pos="7317" w:leader="none"/>
        </w:tabs>
        <w:spacing w:before="100" w:after="120"/>
        <w:ind w:start="720" w:end="0"/>
        <w:jc w:val="both"/>
        <w:rPr>
          <w:rFonts w:ascii="Arial" w:hAnsi="Arial" w:cs="Arial"/>
        </w:rPr>
      </w:pPr>
      <w:r>
        <w:rPr>
          <w:rFonts w:cs="Arial" w:ascii="Arial" w:hAnsi="Arial"/>
        </w:rPr>
      </w:r>
    </w:p>
    <w:p>
      <w:pPr>
        <w:pStyle w:val="Normal"/>
        <w:tabs>
          <w:tab w:val="clear" w:pos="720"/>
          <w:tab w:val="left" w:pos="7317" w:leader="none"/>
        </w:tabs>
        <w:spacing w:before="100" w:after="120"/>
        <w:ind w:start="720" w:end="0"/>
        <w:jc w:val="both"/>
        <w:rPr>
          <w:rFonts w:ascii="Arial" w:hAnsi="Arial" w:cs="Arial"/>
        </w:rPr>
      </w:pPr>
      <w:r>
        <w:rPr>
          <w:rFonts w:cs="Arial" w:ascii="Arial" w:hAnsi="Arial"/>
        </w:rPr>
        <w:t>For example, for a governance change to be approved by the Retail Electric Standards Board’s Board of Directors, two hurdles must be passed.  First the proposed governance change must be approved by twelve (12) of the Sixteen (16) RESB Directors, and by at least two (2) of the four (4) Directors in each of the four Segments.  It could then be submitted to the membership for ratification.</w:t>
      </w:r>
    </w:p>
    <w:p>
      <w:pPr>
        <w:pStyle w:val="Normal"/>
        <w:tabs>
          <w:tab w:val="clear" w:pos="720"/>
          <w:tab w:val="left" w:pos="7317" w:leader="none"/>
        </w:tabs>
        <w:spacing w:before="100" w:after="120"/>
        <w:ind w:start="720" w:end="0"/>
        <w:jc w:val="both"/>
        <w:rPr>
          <w:rFonts w:ascii="Arial" w:hAnsi="Arial" w:cs="Arial"/>
        </w:rPr>
      </w:pPr>
      <w:r>
        <w:rPr>
          <w:rFonts w:cs="Arial" w:ascii="Arial" w:hAnsi="Arial"/>
        </w:rPr>
        <w:t>Other matters coming before the board require nine (9) of the sixteen (16) board members to approve, with at least two positive votes in each of the four Segments.  Board action on these other matters does not require member ratification.</w:t>
      </w:r>
    </w:p>
    <w:p>
      <w:pPr>
        <w:pStyle w:val="Normal"/>
        <w:spacing w:before="100" w:after="120"/>
        <w:jc w:val="both"/>
        <w:rPr/>
      </w:pPr>
      <w:r>
        <w:rPr>
          <w:rFonts w:cs="Arial" w:ascii="Arial" w:hAnsi="Arial"/>
          <w:b/>
        </w:rPr>
        <w:t xml:space="preserve">Board Meetings: </w:t>
      </w:r>
      <w:r>
        <w:rPr>
          <w:rFonts w:cs="Arial" w:ascii="Arial" w:hAnsi="Arial"/>
        </w:rPr>
        <w:t>Board Meetings shall be in person at locations determined by the Board Officers.  However, Board Members may participate and vote by means of tele-conference or other electronic means. Eligibility to continue serving as a Board member is dependent upon in-person attendance at no less than 50% of scheduled Board Meetings.  Such an attendance threshold shall be reviewed at March 31 and September 30 of each year for the preceding twelve months.  Failure to meet the 50% threshold for reasons other than hospitalization or disability will result in forfeiture of the Board seat and an election to fill the seat by the next Board Meeting.</w:t>
      </w:r>
    </w:p>
    <w:p>
      <w:pPr>
        <w:pStyle w:val="Normal"/>
        <w:spacing w:before="100" w:after="120"/>
        <w:jc w:val="both"/>
        <w:rPr>
          <w:rFonts w:ascii="Arial" w:hAnsi="Arial" w:cs="Arial"/>
        </w:rPr>
      </w:pPr>
      <w:r>
        <w:rPr>
          <w:rFonts w:cs="Arial" w:ascii="Arial" w:hAnsi="Arial"/>
        </w:rPr>
      </w:r>
    </w:p>
    <w:p>
      <w:pPr>
        <w:pStyle w:val="Normal"/>
        <w:spacing w:before="100" w:after="120"/>
        <w:jc w:val="both"/>
        <w:rPr/>
      </w:pPr>
      <w:r>
        <w:rPr>
          <w:rFonts w:cs="Arial" w:ascii="Arial" w:hAnsi="Arial"/>
          <w:b/>
        </w:rPr>
        <w:t xml:space="preserve">Executive Committee – </w:t>
      </w:r>
      <w:r>
        <w:rPr>
          <w:rFonts w:cs="Arial" w:ascii="Arial" w:hAnsi="Arial"/>
        </w:rPr>
        <w:t xml:space="preserve">The Executive Committee would be comprised of sixteen (16) members, four (4) members elected from each of its four (4) Segments. EC members shall be elected for staggered two-year terms with two of the four EC members from each Segment having terms that expire each calendar year.  At the first EC meeting each year, the EC Members would elect a Chair and Vice-Chair who would serve a one-year term. </w:t>
      </w:r>
    </w:p>
    <w:p>
      <w:pPr>
        <w:pStyle w:val="Normal"/>
        <w:spacing w:before="100" w:after="120"/>
        <w:jc w:val="both"/>
        <w:rPr>
          <w:rFonts w:ascii="Arial" w:hAnsi="Arial" w:cs="Arial"/>
        </w:rPr>
      </w:pPr>
      <w:r>
        <w:rPr>
          <w:rFonts w:cs="Arial" w:ascii="Arial" w:hAnsi="Arial"/>
        </w:rPr>
        <w:t xml:space="preserve">Executive Committee members are not permitted to substitute other individuals for the elected, named member of the Executive Committee, unless that individual is a named alternate, elected according to Board-approved Segment Procedures.  Agents for member companies are permitted to be candidates for election to positions as Executive Committee members or as named alternates. </w:t>
      </w:r>
    </w:p>
    <w:p>
      <w:pPr>
        <w:pStyle w:val="Normal"/>
        <w:spacing w:before="100" w:after="120"/>
        <w:jc w:val="both"/>
        <w:rPr>
          <w:rFonts w:ascii="Arial" w:hAnsi="Arial" w:cs="Arial"/>
        </w:rPr>
      </w:pPr>
      <w:r>
        <w:rPr>
          <w:rFonts w:cs="Arial" w:ascii="Arial" w:hAnsi="Arial"/>
        </w:rPr>
        <w:t>An individual member may not serve on the Executive Committee and the Board of Director’s concurrently.</w:t>
      </w:r>
    </w:p>
    <w:p>
      <w:pPr>
        <w:pStyle w:val="Normal"/>
        <w:spacing w:before="100" w:after="120"/>
        <w:jc w:val="both"/>
        <w:rPr>
          <w:rFonts w:ascii="Arial" w:hAnsi="Arial" w:cs="Arial"/>
        </w:rPr>
      </w:pPr>
      <w:r>
        <w:rPr>
          <w:rFonts w:cs="Arial" w:ascii="Arial" w:hAnsi="Arial"/>
        </w:rPr>
        <w:t>The Executive Committee will meet and act “en banc".</w:t>
      </w:r>
    </w:p>
    <w:p>
      <w:pPr>
        <w:pStyle w:val="Normal"/>
        <w:tabs>
          <w:tab w:val="clear" w:pos="720"/>
          <w:tab w:val="left" w:pos="7317" w:leader="none"/>
        </w:tabs>
        <w:spacing w:before="100" w:after="120"/>
        <w:jc w:val="both"/>
        <w:rPr>
          <w:rFonts w:ascii="Arial" w:hAnsi="Arial" w:cs="Arial"/>
        </w:rPr>
      </w:pPr>
      <w:r>
        <w:rPr>
          <w:rFonts w:cs="Arial" w:ascii="Arial" w:hAnsi="Arial"/>
        </w:rPr>
        <w:t>The Executive Committee is responsible for carrying out the Annual Plan. The Annual Plan, developed and approved by the Board, describes the areas and general priorities for standards development.</w:t>
      </w:r>
    </w:p>
    <w:p>
      <w:pPr>
        <w:pStyle w:val="Normal"/>
        <w:tabs>
          <w:tab w:val="clear" w:pos="720"/>
          <w:tab w:val="left" w:pos="7317" w:leader="none"/>
        </w:tabs>
        <w:spacing w:before="100" w:after="120"/>
        <w:jc w:val="both"/>
        <w:rPr>
          <w:rFonts w:ascii="Arial" w:hAnsi="Arial" w:cs="Arial"/>
        </w:rPr>
      </w:pPr>
      <w:r>
        <w:rPr>
          <w:rFonts w:cs="Arial" w:ascii="Arial" w:hAnsi="Arial"/>
        </w:rPr>
        <w:t>The Executive Committee is the determining body for standards issues. For standards to be adopted, the Executive Committee must vote with 67% overall approval and 50% approval by the EC members of each of the Segments. The approved standards would then require a ratification vote of all members.  To be ratified, a 67% approval is required for those members returning ballots.  All other decisions of the Executive Committee are determined by a simple majority vote of each of the Segments, with no member ratification required.</w:t>
      </w:r>
    </w:p>
    <w:p>
      <w:pPr>
        <w:pStyle w:val="Normal"/>
        <w:tabs>
          <w:tab w:val="clear" w:pos="720"/>
          <w:tab w:val="left" w:pos="7317" w:leader="none"/>
        </w:tabs>
        <w:spacing w:before="100" w:after="120"/>
        <w:ind w:start="720" w:end="0"/>
        <w:jc w:val="both"/>
        <w:rPr>
          <w:rFonts w:ascii="Arial" w:hAnsi="Arial" w:cs="Arial"/>
        </w:rPr>
      </w:pPr>
      <w:r>
        <w:rPr>
          <w:rFonts w:cs="Arial" w:ascii="Arial" w:hAnsi="Arial"/>
        </w:rPr>
        <w:t>For example, for a proposed standard to be approved by the Retail Electric Standards Board’s Executive Committee, the proposed standard must be approved by eleven (11) of the Sixteen (16) RESB Executive Committee members, and by at least two (2) of the four (4) Executive Committee members in each of the four Segments.  It could then be submitted to the membership for ratification.</w:t>
      </w:r>
    </w:p>
    <w:p>
      <w:pPr>
        <w:pStyle w:val="Normal"/>
        <w:rPr>
          <w:rFonts w:ascii="Arial" w:hAnsi="Arial" w:cs="Arial"/>
        </w:rPr>
      </w:pPr>
      <w:r>
        <w:rPr>
          <w:rFonts w:cs="Arial" w:ascii="Arial" w:hAnsi="Arial"/>
        </w:rPr>
      </w:r>
    </w:p>
    <w:p>
      <w:pPr>
        <w:pStyle w:val="Normal"/>
        <w:tabs>
          <w:tab w:val="clear" w:pos="720"/>
          <w:tab w:val="left" w:pos="7317" w:leader="none"/>
        </w:tabs>
        <w:spacing w:before="100" w:after="120"/>
        <w:jc w:val="both"/>
        <w:rPr>
          <w:rFonts w:ascii="Arial" w:hAnsi="Arial" w:cs="Arial"/>
        </w:rPr>
      </w:pPr>
      <w:r>
        <w:rPr>
          <w:rFonts w:cs="Arial" w:ascii="Arial" w:hAnsi="Arial"/>
        </w:rPr>
        <w:t>Should the Retail Electric Standards Board become part of a larger EISB, these same EC members shall represent the RESB Quadrant on the Executive Committee of that organization with balanced voting rights equal to those of all other Quadrants. If part of an EISB, no Quadrant Chairperson would be elected.</w:t>
      </w:r>
    </w:p>
    <w:p>
      <w:pPr>
        <w:pStyle w:val="Normal"/>
        <w:tabs>
          <w:tab w:val="clear" w:pos="720"/>
          <w:tab w:val="left" w:pos="7317" w:leader="none"/>
        </w:tabs>
        <w:spacing w:before="100" w:after="120"/>
        <w:ind w:start="720" w:end="0"/>
        <w:jc w:val="both"/>
        <w:rPr>
          <w:rFonts w:ascii="Arial" w:hAnsi="Arial" w:cs="Arial"/>
        </w:rPr>
      </w:pPr>
      <w:r>
        <w:rPr>
          <w:rFonts w:cs="Arial" w:ascii="Arial" w:hAnsi="Arial"/>
        </w:rPr>
      </w:r>
    </w:p>
    <w:p>
      <w:pPr>
        <w:pStyle w:val="BodyTextIndent"/>
        <w:tabs>
          <w:tab w:val="clear" w:pos="720"/>
          <w:tab w:val="left" w:pos="1440" w:leader="none"/>
          <w:tab w:val="left" w:pos="2160" w:leader="none"/>
        </w:tabs>
        <w:spacing w:before="100" w:after="120"/>
        <w:ind w:start="0" w:end="0"/>
        <w:jc w:val="both"/>
        <w:rPr>
          <w:b/>
        </w:rPr>
      </w:pPr>
      <w:r>
        <w:rPr>
          <w:b/>
        </w:rPr>
        <w:t xml:space="preserve">Executive Committee Meetings:  </w:t>
      </w:r>
      <w:r>
        <w:rPr/>
        <w:t>Executive Committee Meetings shall be in person at times and locations determined by the Chair and Vice-Chair of the Executive Committee. Executive Committee Members may participate and vote by means of tele-conference or other electronic means unless in-person attendance is required of all members by both the Chair and Vice-Chair of the Executive Committee.  However, eligibility to continue to serve as an Executive Committee Member is dependent upon in-person attendance at no less than 50% of scheduled Executive Committee Meetings.  Attendance records shall be reviewed for compliance with these requirements at March 31 and September 30 of each year for the preceding twelve months.  Failure to meet the 50% threshold or in-person attendance requirements for reasons other than hospitalization or disability will result in forfeiture of the Executive Committee seat and an election to fill the seat by the next Executive Committee Meeting.</w:t>
      </w:r>
    </w:p>
    <w:p>
      <w:pPr>
        <w:pStyle w:val="BodyText"/>
        <w:widowControl w:val="false"/>
        <w:spacing w:before="100" w:after="120"/>
        <w:rPr/>
      </w:pPr>
      <w:r>
        <w:rPr>
          <w:b/>
        </w:rPr>
        <w:t xml:space="preserve">Subcommittees:  </w:t>
      </w:r>
      <w:r>
        <w:rPr/>
        <w:t>The Executive Committee may establish voluntary subcommittees to perform various functions required of the organization.  The Executive Committee will prepare a written statement of the purpose of the Subcommittee and the tasks to be performed, name the Subcommittee, and appoint a temporary chair.  The Temporary Chair may be a member of the Executive Committee or any RESB member willing to perform the required startup tasks and to continue chairing the Subcommittee if confirmed/elected by the members of the Subcommittee at its first meeting.  The Temporary Chair shall set up the first meeting of the Subcommittee and prepare a meeting notice that:  1) states the name and purpose of the Subcommittee, 2) solicits participation in the Subcommittee, 3) announce the agenda for the first meeting.   The meeting notice will sent to all members, and non-members who have participated in RESB activities in the last twelve months, at least two weeks prior to the meeting date.  The permanent Chair may be any RESB member.  Membership on Subcommittees is open to any interested party.</w:t>
      </w:r>
    </w:p>
    <w:p>
      <w:pPr>
        <w:pStyle w:val="BodyText"/>
        <w:widowControl w:val="false"/>
        <w:spacing w:before="100" w:after="120"/>
        <w:rPr/>
      </w:pPr>
      <w:r>
        <w:rPr/>
        <w:t xml:space="preserve">The Executive Committee will establish a Triage Subcommittee for the purpose of prioritizing requests for standards and assigning them to appropriate Subcommittees for development. The Triage Subcommittee is composed of two (2) Executive Committee members from each Segment and is </w:t>
      </w:r>
      <w:r>
        <w:rPr>
          <w:highlight w:val="yellow"/>
        </w:rPr>
        <w:t>chaired by the elected Vice Chair of the Executive Committee.</w:t>
      </w:r>
    </w:p>
    <w:p>
      <w:pPr>
        <w:pStyle w:val="BodyText"/>
        <w:widowControl w:val="false"/>
        <w:spacing w:before="100" w:after="120"/>
        <w:rPr/>
      </w:pPr>
      <w:r>
        <w:rPr>
          <w:b/>
        </w:rPr>
        <w:t xml:space="preserve">Segment Procedures: </w:t>
      </w:r>
      <w:r>
        <w:rPr/>
        <w:t xml:space="preserve">There shall be procedures for each Segment, which are drafted by each Segment and approved by the Board of Directors.  The procedures are to be approved through a simple majority vote from each Segment, and should </w:t>
      </w:r>
      <w:r>
        <w:rPr>
          <w:highlight w:val="yellow"/>
        </w:rPr>
        <w:t>be declined by the Board only if they are inconsistent with the principles upon which the organization was founded</w:t>
      </w:r>
      <w:r>
        <w:rPr/>
        <w:t xml:space="preserve"> or with terms of the certificate of incorporation or bylaws. </w:t>
      </w:r>
      <w:r>
        <w:rPr>
          <w:highlight w:val="yellow"/>
        </w:rPr>
        <w:t xml:space="preserve"> </w:t>
      </w:r>
      <w:r>
        <w:rPr/>
        <w:t xml:space="preserve">  The procedures will include nomination procedures governing the nomination process for elections to fill seats on the Board and Executive Committee. Such procedures should set forth the nomination and election procedures to be administered by the </w:t>
      </w:r>
      <w:r>
        <w:rPr>
          <w:highlight w:val="yellow"/>
        </w:rPr>
        <w:t>standards organization’s administrative office</w:t>
      </w:r>
      <w:r>
        <w:rPr/>
        <w:t>.  Segment procedures also should include criteria, and a process, to ensure that the segment’s voting procedures are fair and representative.</w:t>
      </w:r>
    </w:p>
    <w:p>
      <w:pPr>
        <w:pStyle w:val="BodyText"/>
        <w:widowControl w:val="false"/>
        <w:spacing w:before="100" w:after="120"/>
        <w:rPr/>
      </w:pPr>
      <w:r>
        <w:rPr/>
        <w:t xml:space="preserve">A draft of sample Segment procedures appear as an appendix to this document  (Appendix “B”). </w:t>
      </w:r>
    </w:p>
    <w:p>
      <w:pPr>
        <w:pStyle w:val="BodyTextIndent"/>
        <w:spacing w:before="100" w:after="120"/>
        <w:ind w:start="0" w:end="0"/>
        <w:jc w:val="both"/>
        <w:rPr>
          <w:b/>
        </w:rPr>
      </w:pPr>
      <w:r>
        <w:rPr>
          <w:b/>
        </w:rPr>
      </w:r>
      <w:r>
        <w:br w:type="page"/>
      </w:r>
    </w:p>
    <w:p>
      <w:pPr>
        <w:pStyle w:val="BodyTextIndent"/>
        <w:spacing w:before="100" w:after="120"/>
        <w:ind w:start="0" w:end="0"/>
        <w:jc w:val="both"/>
        <w:rPr/>
      </w:pPr>
      <w:r>
        <w:rPr>
          <w:b/>
        </w:rPr>
        <w:t xml:space="preserve">Standards Development Process: </w:t>
      </w:r>
      <w:r>
        <w:rPr/>
        <w:t xml:space="preserve">Any party, regardless of membership, can request that a standard be developed or an existing standard be modified or deleted. When the standards request is received by the organization’s office, it will forward the request to the Triage Subcommittee, a group reporting to the Executive Committee. The Triage Subcommittee, through a simple majority vote, will first assess whether the request meets the organization’s scope, and then recommend to which subcommittee(s) the request should be forwarded for development, and which relative priority should be assigned. This recommendation is then forwarded to the Executive Committee for approval and assignment.  The Executive Committee, through a simple majority vote will approve or modify and approve the triage recommendation.  The request is then forwarded to the applicable standards development subcommittees for consideration.  After consideration, the applicable standards development subcommittees prepare recommended standards language related to the request.    The standards development subcommittee then brings its recommended standard to the Executive Committee for adoption. Notification of the proposed standard is sent to all members, any parties who have participated in RESB proceedings in the last 12 months,-and any others who so indicated a desire to be informed, inviting comment.  Comments would be returned to the Executive Committee for use in their deliberation process.  If the Executive Committee approves adoption of the proposed standard, then the process continues with the member ratification process and ultimate publication.  All members can participate in the ratification process.  If the Executive Committee does not approve the proposed standard, the proposing Subcommittee may revise and resubmit the proposal not less than 12 months later.  </w:t>
      </w:r>
      <w:r>
        <w:rPr>
          <w:i/>
        </w:rPr>
        <w:t>(Note the GISB reconsideration process—seeing if the standard applies to additional Quadrants does not apply to RESB since it is only one Quadrant.  This does need to be addressed in the context of an EISB or Retail Standards Board.)</w:t>
      </w:r>
    </w:p>
    <w:p>
      <w:pPr>
        <w:pStyle w:val="BodyTextIndent"/>
        <w:spacing w:before="100" w:after="120"/>
        <w:ind w:start="0" w:end="0"/>
        <w:jc w:val="both"/>
        <w:rPr/>
      </w:pPr>
      <w:r>
        <w:rPr/>
        <w:t>Should the Retail Electric Standards Board become part of a larger Energy Industry Standards Board the duties of the Triage Subcommittee shall be assumed by the larger organization’s Triage Committee.</w:t>
      </w:r>
    </w:p>
    <w:p>
      <w:pPr>
        <w:pStyle w:val="BodyTextIndent"/>
        <w:spacing w:before="100" w:after="120"/>
        <w:ind w:start="0" w:end="0"/>
        <w:jc w:val="both"/>
        <w:rPr/>
      </w:pPr>
      <w:r>
        <w:rPr>
          <w:b/>
        </w:rPr>
        <w:t xml:space="preserve">Balanced Voting: </w:t>
      </w:r>
      <w:r>
        <w:rPr/>
        <w:t xml:space="preserve">Standards development subcommittees are standing subcommittees, and vote by majority, with balanced voting for each Segment regardless of the distribution of Segment participation on the subcommittee..  Each Segment should be provided two votes to be apportioned on a no more than “one vote per company in attendance at the meeting” basis. When there are more than two companies within a Segment in attendance, the two votes per Segment will be apportioned equally among the attendees within that Segment. Absentee ballots will be permitted only if the proposed standards subject to the vote are distributed prior to the meeting with sufficient lead time to register a vote and no modifications have been made to the proposed standard since such distribution.  If a Segment is not represented during a vote either in person, by teleconferencing or other electronic means, or by absentee ballot, the votes of the missing Segment shall be declared to be Abstentions.  Abstentions are not counted in the apportionment of votes or determination of a majority on the issue being decided. </w:t>
      </w:r>
    </w:p>
    <w:p>
      <w:pPr>
        <w:pStyle w:val="BodyTextIndent"/>
        <w:spacing w:before="100" w:after="120"/>
        <w:ind w:start="0" w:end="0"/>
        <w:jc w:val="both"/>
        <w:rPr/>
      </w:pPr>
      <w:r>
        <w:rPr>
          <w:b/>
        </w:rPr>
        <w:t xml:space="preserve">Relationship of a Retail Electric Standards Board to other energy industry standards setting organizations  </w:t>
      </w:r>
      <w:r>
        <w:rPr/>
        <w:t>In proposing and developing retail standards, the Retail Electric Standards Board will attempt to create standards that will apply to both the retail electric and natural gas industries, recognizing that there will be instances where discrete standards are required by each of the respective industries.</w:t>
      </w:r>
    </w:p>
    <w:p>
      <w:pPr>
        <w:pStyle w:val="BodyTextIndent"/>
        <w:spacing w:before="100" w:after="120"/>
        <w:ind w:start="0" w:end="0"/>
        <w:jc w:val="both"/>
        <w:rPr/>
      </w:pPr>
      <w:r>
        <w:rPr/>
        <w:t>Where the RESB is operating within the structure of either a combined Retail Standards Board or EISB, the RESB shall cooperate with the complementary Retail Gas Standards on issues designated by the Triage Committee or through the EISB Reconsideration Process to involve interests both Quadrants. The RESB will work with the complementary Retail Natural Gas Standards Board through either a standing subcommittee or by creating an ad-hoc subcommittee charged with addressing the issues under review.</w:t>
      </w:r>
    </w:p>
    <w:p>
      <w:pPr>
        <w:pStyle w:val="BodyTextIndent"/>
        <w:spacing w:before="100" w:after="120"/>
        <w:ind w:start="0" w:end="0"/>
        <w:jc w:val="both"/>
        <w:rPr/>
      </w:pPr>
      <w:r>
        <w:rPr/>
      </w:r>
    </w:p>
    <w:p>
      <w:pPr>
        <w:pStyle w:val="BodyTextIndent"/>
        <w:spacing w:before="100" w:after="120"/>
        <w:ind w:start="0" w:end="0"/>
        <w:jc w:val="both"/>
        <w:rPr/>
      </w:pPr>
      <w:r>
        <w:rPr/>
        <w:t>In the event that the RESB is operating as a stand-alone organization, the RESB shall seek to involve retail natural gas interests in one of the following ways:</w:t>
      </w:r>
    </w:p>
    <w:p>
      <w:pPr>
        <w:pStyle w:val="BodyTextIndent"/>
        <w:numPr>
          <w:ilvl w:val="0"/>
          <w:numId w:val="4"/>
        </w:numPr>
        <w:tabs>
          <w:tab w:val="clear" w:pos="720"/>
          <w:tab w:val="left" w:pos="1080" w:leader="none"/>
        </w:tabs>
        <w:spacing w:before="100" w:after="120"/>
        <w:ind w:hanging="360" w:start="1080" w:end="0"/>
        <w:jc w:val="both"/>
        <w:rPr/>
      </w:pPr>
      <w:r>
        <w:rPr>
          <w:b/>
        </w:rPr>
        <w:t>Where no retail natural gas organization exists</w:t>
      </w:r>
      <w:r>
        <w:rPr/>
        <w:t xml:space="preserve"> – by seeking the input of interested participants in the retail natural gas market either as part of the standards development process itself or through the public comment process </w:t>
      </w:r>
    </w:p>
    <w:p>
      <w:pPr>
        <w:pStyle w:val="BodyTextIndent"/>
        <w:numPr>
          <w:ilvl w:val="0"/>
          <w:numId w:val="4"/>
        </w:numPr>
        <w:tabs>
          <w:tab w:val="clear" w:pos="720"/>
          <w:tab w:val="left" w:pos="1080" w:leader="none"/>
        </w:tabs>
        <w:spacing w:before="100" w:after="120"/>
        <w:ind w:hanging="360" w:start="1080" w:end="0"/>
        <w:jc w:val="both"/>
        <w:rPr/>
      </w:pPr>
      <w:r>
        <w:rPr>
          <w:b/>
        </w:rPr>
        <w:t>Where independent retail standards organizations exist for electric and natural gas</w:t>
      </w:r>
      <w:r>
        <w:rPr/>
        <w:t xml:space="preserve"> – by seeking to form Conference Committees that could develop standards language acceptable to both organizations</w:t>
      </w:r>
    </w:p>
    <w:p>
      <w:pPr>
        <w:pStyle w:val="BodyTextIndent"/>
        <w:spacing w:before="100" w:after="120"/>
        <w:ind w:start="0" w:end="0"/>
        <w:jc w:val="both"/>
        <w:rPr/>
      </w:pPr>
      <w:r>
        <w:rPr/>
        <w:t>The Retail Electric Standards Board will also coordinate its efforts with standards setting organizations  for wholesale electric markets to ensure compatibility at any wholesale/retail interface points.  If the proposed EISB exists, this would be through either standing or ad-hoc joint-Quadrant Subcommittees.  Ifno EISB exists, the approach would be similar to that described for coordination with retail gas in the paragraph above.</w:t>
      </w:r>
    </w:p>
    <w:p>
      <w:pPr>
        <w:pStyle w:val="BodyTextIndent"/>
        <w:spacing w:before="100" w:after="120"/>
        <w:ind w:start="0" w:end="0"/>
        <w:jc w:val="both"/>
        <w:rPr/>
      </w:pPr>
      <w:r>
        <w:rPr>
          <w:b/>
          <w:bCs/>
        </w:rPr>
        <w:t xml:space="preserve">SYNC UP WITH EISB BY-LAWS:  </w:t>
      </w:r>
      <w:r>
        <w:rPr/>
        <w:t>Sunset Procedure:  Once established, the RESB will operate for a period of three (3)) years, after which it will cease operations, unless the BOD affirmatively votes to continue operating for another three (3) year period.  (i.e., by a vote of 75% of each quadrant and 40% of each segment).  Recommendations by the BOD to continue must be ratified by 90% of membership.</w:t>
      </w:r>
    </w:p>
    <w:p>
      <w:pPr>
        <w:pStyle w:val="BodyTextIndent"/>
        <w:spacing w:before="100" w:after="120"/>
        <w:ind w:start="0" w:end="0"/>
        <w:jc w:val="both"/>
        <w:rPr/>
      </w:pPr>
      <w:r>
        <w:rPr/>
      </w:r>
    </w:p>
    <w:p>
      <w:pPr>
        <w:pStyle w:val="BodyTextIndent"/>
        <w:tabs>
          <w:tab w:val="clear" w:pos="720"/>
          <w:tab w:val="left" w:pos="1440" w:leader="none"/>
          <w:tab w:val="left" w:pos="2160" w:leader="none"/>
        </w:tabs>
        <w:spacing w:before="100" w:after="120"/>
        <w:ind w:start="0" w:end="0"/>
        <w:rPr/>
      </w:pPr>
      <w:r>
        <w:rPr>
          <w:b/>
        </w:rPr>
        <w:t xml:space="preserve">Funding: </w:t>
        <w:tab/>
      </w:r>
      <w:r>
        <w:rPr/>
        <w:t>1.</w:t>
        <w:tab/>
        <w:t>Initial base funding is from annual membership dues: $5000 per membership.</w:t>
      </w:r>
    </w:p>
    <w:p>
      <w:pPr>
        <w:pStyle w:val="BodySingle"/>
        <w:spacing w:lineRule="atLeast" w:line="240" w:before="120" w:after="120"/>
        <w:ind w:hanging="720" w:start="2160" w:end="0"/>
        <w:rPr>
          <w:rFonts w:ascii="Arial" w:hAnsi="Arial" w:cs="Arial"/>
          <w:color w:val="000000"/>
        </w:rPr>
      </w:pPr>
      <w:r>
        <w:rPr>
          <w:rFonts w:cs="Arial" w:ascii="Arial" w:hAnsi="Arial"/>
          <w:color w:val="000000"/>
        </w:rPr>
        <w:t>2.</w:t>
        <w:tab/>
        <w:t xml:space="preserve">Sponsorship Dollars are solicited with no guarantee that they will be credited against future dues. </w:t>
      </w:r>
    </w:p>
    <w:p>
      <w:pPr>
        <w:pStyle w:val="BodySingle"/>
        <w:spacing w:lineRule="atLeast" w:line="240" w:before="120" w:after="120"/>
        <w:rPr>
          <w:rFonts w:ascii="Arial" w:hAnsi="Arial" w:cs="Arial"/>
          <w:color w:val="000000"/>
        </w:rPr>
      </w:pPr>
      <w:r>
        <w:rPr>
          <w:rFonts w:cs="Arial" w:ascii="Arial" w:hAnsi="Arial"/>
          <w:color w:val="000000"/>
        </w:rPr>
        <w:t>The revenues required for the operation of the organization are based primarily from membership dues assessed to all members.  BOD will periodically review and adjust the membership dues based on the budget requirements and the need for broad representation in all segments, particularly the end-user segment.  Membership dues will start at the formal recognition of either EISB or RESB and will be due and payable on a date determined by the BOD.</w:t>
      </w:r>
    </w:p>
    <w:p>
      <w:pPr>
        <w:pStyle w:val="BodyTextIndent"/>
        <w:spacing w:before="100" w:after="120"/>
        <w:jc w:val="both"/>
        <w:rPr>
          <w:rFonts w:ascii="Arial" w:hAnsi="Arial" w:cs="Arial"/>
          <w:color w:val="000000"/>
        </w:rPr>
      </w:pPr>
      <w:r>
        <w:rPr>
          <w:rFonts w:cs="Arial"/>
          <w:color w:val="000000"/>
        </w:rPr>
      </w:r>
    </w:p>
    <w:p>
      <w:pPr>
        <w:pStyle w:val="BodyTextIndent"/>
        <w:spacing w:before="100" w:after="120"/>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BodyTextIndent"/>
        <w:spacing w:before="100" w:after="120"/>
        <w:jc w:val="both"/>
        <w:rPr/>
      </w:pPr>
      <w:r>
        <w:rPr/>
      </w:r>
    </w:p>
    <w:p>
      <w:pPr>
        <w:pStyle w:val="FootnoteText"/>
        <w:spacing w:before="100" w:after="120"/>
        <w:jc w:val="center"/>
        <w:rPr>
          <w:rFonts w:ascii="Arial" w:hAnsi="Arial" w:cs="Arial"/>
          <w:b/>
        </w:rPr>
      </w:pPr>
      <w:r>
        <w:rPr>
          <w:rFonts w:cs="Arial" w:ascii="Arial" w:hAnsi="Arial"/>
          <w:b/>
        </w:rPr>
      </w:r>
    </w:p>
    <w:p>
      <w:pPr>
        <w:pStyle w:val="FootnoteText"/>
        <w:spacing w:before="100" w:after="120"/>
        <w:jc w:val="center"/>
        <w:rPr>
          <w:rFonts w:ascii="Arial" w:hAnsi="Arial" w:cs="Arial"/>
          <w:b/>
        </w:rPr>
      </w:pPr>
      <w:r>
        <w:rPr>
          <w:rFonts w:cs="Arial" w:ascii="Arial" w:hAnsi="Arial"/>
          <w:b/>
        </w:rPr>
        <w:t>Overall Energy Standards Organization (Energy Industry Standards Board)</w:t>
      </w:r>
    </w:p>
    <w:p>
      <w:pPr>
        <w:pStyle w:val="FootnoteText"/>
        <w:spacing w:before="100" w:after="120"/>
        <w:jc w:val="center"/>
        <w:rPr>
          <w:rFonts w:ascii="Arial" w:hAnsi="Arial" w:cs="Arial"/>
          <w:b/>
        </w:rPr>
      </w:pPr>
      <w:r>
        <w:rPr>
          <w:rFonts w:cs="Arial" w:ascii="Arial" w:hAnsi="Arial"/>
          <w:b/>
        </w:rPr>
        <w:t>(GISB – Strawman 2)</w:t>
      </w:r>
    </w:p>
    <w:p>
      <w:pPr>
        <w:pStyle w:val="FootnoteText"/>
        <w:spacing w:before="100" w:after="120"/>
        <w:jc w:val="both"/>
        <w:rPr>
          <w:rFonts w:ascii="Arial" w:hAnsi="Arial" w:cs="Arial"/>
          <w:b/>
        </w:rPr>
      </w:pPr>
      <w:r>
        <w:rPr>
          <w:rFonts w:cs="Arial" w:ascii="Arial" w:hAnsi="Arial"/>
          <w:b/>
        </w:rPr>
      </w:r>
    </w:p>
    <w:p>
      <w:pPr>
        <w:pStyle w:val="FootnoteText"/>
        <w:spacing w:before="100" w:after="120"/>
        <w:jc w:val="both"/>
        <w:rPr>
          <w:rFonts w:ascii="Arial" w:hAnsi="Arial" w:cs="Arial"/>
        </w:rPr>
      </w:pPr>
      <w:r>
        <w:rPr>
          <w:rFonts w:cs="Arial" w:ascii="Arial" w:hAnsi="Arial"/>
        </w:rPr>
        <w:t>Overall, there are two governing bodies: the Board of Directors and the Executive Committee.  Each of the groups is made up of Quadrant representation and within each Quadrant, Segment representation. Below is a description of Quadrants and the flexibility given to Quadrants to determine their own Segments while still preserving balanced voting.</w:t>
      </w:r>
    </w:p>
    <w:p>
      <w:pPr>
        <w:pStyle w:val="FootnoteText"/>
        <w:spacing w:before="100" w:after="120"/>
        <w:jc w:val="both"/>
        <w:rPr/>
      </w:pPr>
      <w:r>
        <w:rPr>
          <w:rFonts w:cs="Arial" w:ascii="Arial" w:hAnsi="Arial"/>
          <w:b/>
        </w:rPr>
        <w:t xml:space="preserve">Quadrants -- </w:t>
      </w:r>
      <w:r>
        <w:rPr>
          <w:rFonts w:cs="Arial" w:ascii="Arial" w:hAnsi="Arial"/>
        </w:rPr>
        <w:t xml:space="preserve">A Quadrant is an energy market interest.  There are four such Quadrants represented within the new Organization: Electric Wholesale, Electric Retail, Gas Wholesale and Gas Retail. </w:t>
      </w:r>
    </w:p>
    <w:p>
      <w:pPr>
        <w:pStyle w:val="FootnoteText"/>
        <w:spacing w:before="100" w:after="120"/>
        <w:jc w:val="both"/>
        <w:rPr>
          <w:rFonts w:ascii="Arial" w:hAnsi="Arial" w:eastAsia="Arial" w:cs="Arial"/>
        </w:rPr>
      </w:pPr>
      <w:r>
        <w:rPr>
          <w:rFonts w:eastAsia="Arial" w:cs="Arial" w:ascii="Arial" w:hAnsi="Arial"/>
        </w:rPr>
        <w:t xml:space="preserve"> </w:t>
      </w:r>
    </w:p>
    <w:tbl>
      <w:tblPr>
        <w:tblW w:w="9360" w:type="dxa"/>
        <w:jc w:val="start"/>
        <w:tblInd w:w="108" w:type="dxa"/>
        <w:tblLayout w:type="fixed"/>
        <w:tblCellMar>
          <w:top w:w="0" w:type="dxa"/>
          <w:start w:w="108" w:type="dxa"/>
          <w:bottom w:w="0" w:type="dxa"/>
          <w:end w:w="108" w:type="dxa"/>
        </w:tblCellMar>
      </w:tblPr>
      <w:tblGrid>
        <w:gridCol w:w="2340"/>
        <w:gridCol w:w="7020"/>
      </w:tblGrid>
      <w:tr>
        <w:trPr>
          <w:tblHeader w:val="true"/>
        </w:trPr>
        <w:tc>
          <w:tcPr>
            <w:tcW w:w="2340" w:type="dxa"/>
            <w:tcBorders>
              <w:top w:val="single" w:sz="8" w:space="0" w:color="000000"/>
              <w:bottom w:val="single" w:sz="8" w:space="0" w:color="000000"/>
            </w:tcBorders>
          </w:tcPr>
          <w:p>
            <w:pPr>
              <w:pStyle w:val="Normal"/>
              <w:spacing w:before="100" w:after="120"/>
              <w:rPr>
                <w:rFonts w:ascii="Arial" w:hAnsi="Arial" w:cs="Arial"/>
              </w:rPr>
            </w:pPr>
            <w:r>
              <w:rPr>
                <w:rFonts w:cs="Arial" w:ascii="Arial" w:hAnsi="Arial"/>
              </w:rPr>
              <w:t>Energy Quadrant</w:t>
            </w:r>
          </w:p>
        </w:tc>
        <w:tc>
          <w:tcPr>
            <w:tcW w:w="7020" w:type="dxa"/>
            <w:tcBorders>
              <w:top w:val="single" w:sz="8" w:space="0" w:color="000000"/>
              <w:bottom w:val="single" w:sz="8" w:space="0" w:color="000000"/>
            </w:tcBorders>
          </w:tcPr>
          <w:p>
            <w:pPr>
              <w:pStyle w:val="Normal"/>
              <w:spacing w:before="100" w:after="120"/>
              <w:rPr>
                <w:rFonts w:ascii="Arial" w:hAnsi="Arial" w:cs="Arial"/>
              </w:rPr>
            </w:pPr>
            <w:r>
              <w:rPr>
                <w:rFonts w:cs="Arial" w:ascii="Arial" w:hAnsi="Arial"/>
              </w:rPr>
              <w:t>Description</w:t>
            </w:r>
          </w:p>
        </w:tc>
      </w:tr>
      <w:tr>
        <w:trPr/>
        <w:tc>
          <w:tcPr>
            <w:tcW w:w="2340" w:type="dxa"/>
            <w:tcBorders/>
          </w:tcPr>
          <w:p>
            <w:pPr>
              <w:pStyle w:val="Normal"/>
              <w:spacing w:before="100" w:after="120"/>
              <w:jc w:val="center"/>
              <w:rPr>
                <w:rFonts w:ascii="Arial" w:hAnsi="Arial" w:cs="Arial"/>
              </w:rPr>
            </w:pPr>
            <w:r>
              <w:rPr>
                <w:rFonts w:cs="Arial" w:ascii="Arial" w:hAnsi="Arial"/>
              </w:rPr>
              <w:t>Wholesale Gas Quadrant</w:t>
            </w:r>
          </w:p>
        </w:tc>
        <w:tc>
          <w:tcPr>
            <w:tcW w:w="7020" w:type="dxa"/>
            <w:tcBorders/>
          </w:tcPr>
          <w:p>
            <w:pPr>
              <w:pStyle w:val="Normal"/>
              <w:spacing w:before="100" w:after="120"/>
              <w:jc w:val="both"/>
              <w:rPr>
                <w:rFonts w:ascii="Arial" w:hAnsi="Arial" w:cs="Arial"/>
              </w:rPr>
            </w:pPr>
            <w:r>
              <w:rPr>
                <w:rFonts w:cs="Arial" w:ascii="Arial" w:hAnsi="Arial"/>
              </w:rPr>
              <w:t xml:space="preserve">The Wholesale Gas Quadrant is concerned with and generally tasked to handle natural gas related issues and practices which are within scope and typically addressed on either an interstate basis or are generally subject to the pre-emptive jurisdiction of the federal government.  The original GISB’s work can be thought of as being work conducted within this Quadrant.  </w:t>
            </w:r>
          </w:p>
        </w:tc>
      </w:tr>
      <w:tr>
        <w:trPr/>
        <w:tc>
          <w:tcPr>
            <w:tcW w:w="2340" w:type="dxa"/>
            <w:tcBorders/>
          </w:tcPr>
          <w:p>
            <w:pPr>
              <w:pStyle w:val="Normal"/>
              <w:spacing w:before="100" w:after="120"/>
              <w:jc w:val="center"/>
              <w:rPr>
                <w:rFonts w:ascii="Arial" w:hAnsi="Arial" w:cs="Arial"/>
              </w:rPr>
            </w:pPr>
            <w:r>
              <w:rPr>
                <w:rFonts w:cs="Arial" w:ascii="Arial" w:hAnsi="Arial"/>
              </w:rPr>
              <w:t>Wholesale Electric Quadrant</w:t>
            </w:r>
          </w:p>
        </w:tc>
        <w:tc>
          <w:tcPr>
            <w:tcW w:w="7020" w:type="dxa"/>
            <w:tcBorders/>
          </w:tcPr>
          <w:p>
            <w:pPr>
              <w:pStyle w:val="Normal"/>
              <w:spacing w:before="100" w:after="120"/>
              <w:jc w:val="both"/>
              <w:rPr>
                <w:rFonts w:ascii="Arial" w:hAnsi="Arial" w:cs="Arial"/>
              </w:rPr>
            </w:pPr>
            <w:r>
              <w:rPr>
                <w:rFonts w:cs="Arial" w:ascii="Arial" w:hAnsi="Arial"/>
              </w:rPr>
              <w:t xml:space="preserve">The Wholesale Electric Quadrant is concerned with and generally tasked to handle electric related issues and practices which are within scope and typically addressed on either an interstate basis or are generally subject to the pre-emptive jurisdiction of the federal government or are bulk sales of power.  </w:t>
            </w:r>
          </w:p>
        </w:tc>
      </w:tr>
      <w:tr>
        <w:trPr/>
        <w:tc>
          <w:tcPr>
            <w:tcW w:w="2340" w:type="dxa"/>
            <w:tcBorders/>
          </w:tcPr>
          <w:p>
            <w:pPr>
              <w:pStyle w:val="Normal"/>
              <w:spacing w:before="100" w:after="120"/>
              <w:jc w:val="center"/>
              <w:rPr>
                <w:rFonts w:ascii="Arial" w:hAnsi="Arial" w:cs="Arial"/>
              </w:rPr>
            </w:pPr>
            <w:r>
              <w:rPr>
                <w:rFonts w:cs="Arial" w:ascii="Arial" w:hAnsi="Arial"/>
              </w:rPr>
              <w:t>Retail Gas Quadrant</w:t>
            </w:r>
          </w:p>
        </w:tc>
        <w:tc>
          <w:tcPr>
            <w:tcW w:w="7020" w:type="dxa"/>
            <w:tcBorders/>
          </w:tcPr>
          <w:p>
            <w:pPr>
              <w:pStyle w:val="Normal"/>
              <w:spacing w:before="100" w:after="120"/>
              <w:jc w:val="both"/>
              <w:rPr>
                <w:rFonts w:ascii="Arial" w:hAnsi="Arial" w:cs="Arial"/>
              </w:rPr>
            </w:pPr>
            <w:r>
              <w:rPr>
                <w:rFonts w:cs="Arial" w:ascii="Arial" w:hAnsi="Arial"/>
              </w:rPr>
              <w:t xml:space="preserve">The Retail Gas Quadrant is concerned with and generally tasked to handle natural gas related issues and practices, which are within scope and typically addressed at the individual consumer and energy distribution level.  </w:t>
            </w:r>
          </w:p>
        </w:tc>
      </w:tr>
      <w:tr>
        <w:trPr/>
        <w:tc>
          <w:tcPr>
            <w:tcW w:w="2340" w:type="dxa"/>
            <w:tcBorders/>
          </w:tcPr>
          <w:p>
            <w:pPr>
              <w:pStyle w:val="Normal"/>
              <w:spacing w:before="100" w:after="120"/>
              <w:jc w:val="center"/>
              <w:rPr>
                <w:rFonts w:ascii="Arial" w:hAnsi="Arial" w:cs="Arial"/>
                <w:b/>
              </w:rPr>
            </w:pPr>
            <w:r>
              <w:rPr>
                <w:rFonts w:cs="Arial" w:ascii="Arial" w:hAnsi="Arial"/>
                <w:b/>
              </w:rPr>
              <w:t>Retail Electric Quadrant</w:t>
            </w:r>
          </w:p>
        </w:tc>
        <w:tc>
          <w:tcPr>
            <w:tcW w:w="7020" w:type="dxa"/>
            <w:tcBorders/>
          </w:tcPr>
          <w:p>
            <w:pPr>
              <w:pStyle w:val="Normal"/>
              <w:spacing w:before="100" w:after="120"/>
              <w:jc w:val="both"/>
              <w:rPr>
                <w:rFonts w:ascii="Arial" w:hAnsi="Arial" w:cs="Arial"/>
                <w:b/>
              </w:rPr>
            </w:pPr>
            <w:r>
              <w:rPr>
                <w:rFonts w:cs="Arial" w:ascii="Arial" w:hAnsi="Arial"/>
                <w:b/>
              </w:rPr>
              <w:t>The Retail Electric Quadrant is concerned with and generally tasked to handle electric related issues and practices which are within scope and typically addressed at the individual consumer and energy distribution level.</w:t>
            </w:r>
            <w:r>
              <w:rPr>
                <w:rFonts w:cs="Arial" w:ascii="Arial" w:hAnsi="Arial"/>
              </w:rPr>
              <w:t>.</w:t>
            </w:r>
          </w:p>
        </w:tc>
      </w:tr>
    </w:tbl>
    <w:p>
      <w:pPr>
        <w:pStyle w:val="Header"/>
        <w:tabs>
          <w:tab w:val="clear" w:pos="4320"/>
          <w:tab w:val="clear" w:pos="8640"/>
        </w:tabs>
        <w:spacing w:before="100" w:after="120"/>
        <w:rPr>
          <w:rFonts w:ascii="Arial" w:hAnsi="Arial" w:cs="Arial"/>
        </w:rPr>
      </w:pPr>
      <w:r>
        <w:rPr>
          <w:rFonts w:cs="Arial" w:ascii="Arial" w:hAnsi="Arial"/>
        </w:rPr>
      </w:r>
    </w:p>
    <w:p>
      <w:pPr>
        <w:pStyle w:val="BodyText"/>
        <w:widowControl w:val="false"/>
        <w:spacing w:before="0" w:after="120"/>
        <w:rPr/>
      </w:pPr>
      <w:r>
        <w:rPr>
          <w:b/>
        </w:rPr>
        <w:t>Segments –</w:t>
      </w:r>
      <w:r>
        <w:rPr/>
        <w:t xml:space="preserve"> Each quadrant shall determine its own segments, and when determining its segments, shall have met requirements set by the Board, which apply to all quadrants equally.  Each quadrant must adhere to balanced voting across its segments and all industry participants with a business interest in a given quadrant should be able to join that quadrant in one of its defined segments.</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Borders w:display="allPages" w:offsetFrom="text">
            <w:top w:val="single" w:sz="8" w:space="1" w:color="000000"/>
            <w:left w:val="single" w:sz="8" w:space="4" w:color="000000"/>
            <w:bottom w:val="single" w:sz="8" w:space="1" w:color="000000"/>
            <w:right w:val="single" w:sz="8" w:space="4" w:color="000000"/>
          </w:pgBorders>
          <w:pgNumType w:fmt="decimal"/>
          <w:formProt w:val="false"/>
          <w:textDirection w:val="lrTb"/>
          <w:docGrid w:type="default" w:linePitch="360" w:charSpace="0"/>
        </w:sectPr>
        <w:pStyle w:val="BodyText"/>
        <w:widowControl w:val="false"/>
        <w:spacing w:before="0" w:after="120"/>
        <w:jc w:val="center"/>
        <w:rPr/>
      </w:pPr>
      <w:r>
        <w:rPr>
          <w:rFonts w:eastAsia="Bookman Old Style" w:cs="Bookman Old Style" w:ascii="Bookman Old Style" w:hAnsi="Bookman Old Style"/>
        </w:rPr>
        <w:t xml:space="preserve">  </w:t>
      </w:r>
      <w:r>
        <w:rPr>
          <w:rFonts w:eastAsia="Arial"/>
        </w:rPr>
        <w:t xml:space="preserve"> </w:t>
      </w:r>
    </w:p>
    <w:p>
      <w:pPr>
        <w:pStyle w:val="BodyTextIndent"/>
        <w:spacing w:before="100" w:after="120"/>
        <w:ind w:start="0" w:end="0"/>
        <w:jc w:val="both"/>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Brush Script">
    <w:altName w:val="Courier New"/>
    <w:charset w:val="00" w:characterSet="windows-1252"/>
    <w:family w:val="script"/>
    <w:pitch w:val="variable"/>
  </w:font>
  <w:font w:name="Coronet">
    <w:charset w:val="00" w:characterSet="windows-1252"/>
    <w:family w:val="script"/>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00" w:after="0"/>
      <w:jc w:val="end"/>
      <w:rPr/>
    </w:pPr>
    <w:r>
      <w:rPr/>
      <w:t>____________________________________________________________________________________________</w:t>
    </w:r>
  </w:p>
  <w:p>
    <w:pPr>
      <w:pStyle w:val="Footer"/>
      <w:widowControl/>
      <w:spacing w:before="0" w:after="0"/>
      <w:jc w:val="end"/>
      <w:rPr>
        <w:rFonts w:ascii="Arial" w:hAnsi="Arial" w:cs="Arial"/>
        <w:sz w:val="18"/>
      </w:rPr>
    </w:pPr>
    <w:r>
      <w:rPr>
        <w:rFonts w:cs="Arial" w:ascii="Arial" w:hAnsi="Arial"/>
        <w:sz w:val="18"/>
      </w:rPr>
      <w:t>9/06/01</w:t>
    </w:r>
  </w:p>
  <w:p>
    <w:pPr>
      <w:pStyle w:val="Footer"/>
      <w:widowControl/>
      <w:spacing w:before="0" w:after="0"/>
      <w:jc w:val="end"/>
      <w:rPr>
        <w:rFonts w:ascii="Arial" w:hAnsi="Arial" w:cs="Arial"/>
        <w:sz w:val="18"/>
      </w:rPr>
    </w:pPr>
    <w:r>
      <w:rPr>
        <w:rFonts w:cs="Arial" w:ascii="Arial" w:hAnsi="Arial"/>
        <w:sz w:val="18"/>
      </w:rPr>
      <w:t>Page  i</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00" w:after="0"/>
      <w:jc w:val="end"/>
      <w:rPr/>
    </w:pPr>
    <w:r>
      <w:rPr/>
      <w:t>____________________________________________________________________________________________</w:t>
    </w:r>
  </w:p>
  <w:p>
    <w:pPr>
      <w:pStyle w:val="Footer"/>
      <w:widowControl/>
      <w:spacing w:before="0" w:after="0"/>
      <w:jc w:val="end"/>
      <w:rPr>
        <w:rFonts w:ascii="Arial" w:hAnsi="Arial" w:cs="Arial"/>
        <w:sz w:val="18"/>
      </w:rPr>
    </w:pPr>
    <w:r>
      <w:rPr>
        <w:rFonts w:cs="Arial" w:ascii="Arial" w:hAnsi="Arial"/>
        <w:sz w:val="18"/>
      </w:rPr>
      <w:t>9/06/01</w:t>
    </w:r>
  </w:p>
  <w:p>
    <w:pPr>
      <w:pStyle w:val="Footer"/>
      <w:widowControl/>
      <w:spacing w:before="0" w:after="0"/>
      <w:jc w:val="end"/>
      <w:rPr/>
    </w:pPr>
    <w:r>
      <w:rPr>
        <w:rFonts w:cs="Arial" w:ascii="Arial" w:hAnsi="Arial"/>
        <w:sz w:val="18"/>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Fonts w:cs="Arial" w:ascii="Arial" w:hAnsi="Arial"/>
        <w:sz w:val="18"/>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00" w:after="0"/>
      <w:jc w:val="end"/>
      <w:rPr/>
    </w:pPr>
    <w:r>
      <w:rPr/>
      <w:t>____________________________________________________________________________________________</w:t>
    </w:r>
  </w:p>
  <w:p>
    <w:pPr>
      <w:pStyle w:val="Footer"/>
      <w:widowControl/>
      <w:spacing w:before="0" w:after="0"/>
      <w:jc w:val="end"/>
      <w:rPr>
        <w:sz w:val="18"/>
      </w:rPr>
    </w:pPr>
    <w:r>
      <w:rPr>
        <w:sz w:val="18"/>
      </w:rPr>
      <w:t>9/7/01</w:t>
    </w:r>
  </w:p>
  <w:p>
    <w:pPr>
      <w:pStyle w:val="Footer"/>
      <w:widowControl/>
      <w:spacing w:before="0" w:after="0"/>
      <w:jc w:val="end"/>
      <w:rPr/>
    </w:pPr>
    <w:r>
      <w:rPr>
        <w:sz w:val="18"/>
      </w:rPr>
      <w:t xml:space="preserve">Page </w:t>
    </w:r>
    <w:r>
      <w:rPr>
        <w:sz w:val="18"/>
      </w:rPr>
      <w:fldChar w:fldCharType="begin"/>
    </w:r>
    <w:r>
      <w:rPr>
        <w:sz w:val="18"/>
      </w:rPr>
      <w:instrText xml:space="preserve"> PAGE </w:instrText>
    </w:r>
    <w:r>
      <w:rPr>
        <w:sz w:val="18"/>
      </w:rPr>
      <w:fldChar w:fldCharType="separate"/>
    </w:r>
    <w:r>
      <w:rPr>
        <w:sz w:val="18"/>
      </w:rPr>
      <w:t>12</w:t>
    </w:r>
    <w:r>
      <w:rPr>
        <w:sz w:val="18"/>
      </w:rPr>
      <w:fldChar w:fldCharType="end"/>
    </w:r>
    <w:r>
      <w:rPr>
        <w:sz w:val="18"/>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00" w:after="0"/>
      <w:jc w:val="end"/>
      <w:rPr/>
    </w:pPr>
    <w:r>
      <w:rPr/>
      <w:t>____________________________________________________________________________________________</w:t>
    </w:r>
  </w:p>
  <w:p>
    <w:pPr>
      <w:pStyle w:val="Footer"/>
      <w:widowControl/>
      <w:spacing w:before="0" w:after="0"/>
      <w:jc w:val="end"/>
      <w:rPr>
        <w:sz w:val="18"/>
      </w:rPr>
    </w:pPr>
    <w:r>
      <w:rPr>
        <w:sz w:val="18"/>
      </w:rPr>
      <w:t>9/7/01</w:t>
    </w:r>
  </w:p>
  <w:p>
    <w:pPr>
      <w:pStyle w:val="Footer"/>
      <w:widowControl/>
      <w:spacing w:before="0" w:after="0"/>
      <w:jc w:val="end"/>
      <w:rPr/>
    </w:pPr>
    <w:r>
      <w:rPr>
        <w:sz w:val="18"/>
      </w:rPr>
      <w:t xml:space="preserve">Page </w:t>
    </w:r>
    <w:r>
      <w:rPr>
        <w:sz w:val="18"/>
      </w:rPr>
      <w:fldChar w:fldCharType="begin"/>
    </w:r>
    <w:r>
      <w:rPr>
        <w:sz w:val="18"/>
      </w:rPr>
      <w:instrText xml:space="preserve"> PAGE </w:instrText>
    </w:r>
    <w:r>
      <w:rPr>
        <w:sz w:val="18"/>
      </w:rPr>
      <w:fldChar w:fldCharType="separate"/>
    </w:r>
    <w:r>
      <w:rPr>
        <w:sz w:val="18"/>
      </w:rPr>
      <w:t>13</w:t>
    </w:r>
    <w:r>
      <w:rPr>
        <w:sz w:val="18"/>
      </w:rPr>
      <w:fldChar w:fldCharType="end"/>
    </w: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100" w:after="0"/>
      <w:jc w:val="end"/>
      <w:rPr>
        <w:rFonts w:ascii="Arial" w:hAnsi="Arial" w:cs="Arial"/>
        <w:b/>
        <w:sz w:val="28"/>
      </w:rPr>
    </w:pPr>
    <w:r>
      <w:rPr>
        <w:rFonts w:cs="Arial" w:ascii="Arial" w:hAnsi="Arial"/>
        <w:b/>
        <w:sz w:val="28"/>
      </w:rPr>
      <w:t>Retail Electric Standards Board</w:t>
    </w:r>
  </w:p>
  <w:p>
    <w:pPr>
      <w:pStyle w:val="Header"/>
      <w:widowControl/>
      <w:pBdr>
        <w:bottom w:val="single" w:sz="12" w:space="1" w:color="000000"/>
      </w:pBdr>
      <w:spacing w:before="0" w:after="240"/>
      <w:jc w:val="end"/>
      <w:rPr>
        <w:rFonts w:ascii="Arial" w:hAnsi="Arial" w:cs="Arial"/>
      </w:rPr>
    </w:pPr>
    <w:r>
      <w:rPr>
        <w:rFonts w:cs="Arial" w:ascii="Arial" w:hAnsi="Arial"/>
      </w:rPr>
      <w:t xml:space="preserve">Governance Document – GC Draft 4.1 (Redline with “accepted” changes 10/10/01)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100" w:after="0"/>
      <w:jc w:val="end"/>
      <w:rPr>
        <w:rFonts w:ascii="Arial" w:hAnsi="Arial" w:cs="Arial"/>
        <w:b/>
        <w:sz w:val="28"/>
      </w:rPr>
    </w:pPr>
    <w:r>
      <w:rPr>
        <w:rFonts w:cs="Arial" w:ascii="Arial" w:hAnsi="Arial"/>
        <w:b/>
        <w:sz w:val="28"/>
      </w:rPr>
      <w:t>Retail Electric Standards Board</w:t>
    </w:r>
  </w:p>
  <w:p>
    <w:pPr>
      <w:pStyle w:val="Header"/>
      <w:widowControl/>
      <w:pBdr>
        <w:bottom w:val="single" w:sz="12" w:space="1" w:color="000000"/>
      </w:pBdr>
      <w:spacing w:before="0" w:after="240"/>
      <w:jc w:val="end"/>
      <w:rPr>
        <w:rFonts w:ascii="Arial" w:hAnsi="Arial" w:cs="Arial"/>
      </w:rPr>
    </w:pPr>
    <w:r>
      <w:rPr>
        <w:rFonts w:cs="Arial" w:ascii="Arial" w:hAnsi="Arial"/>
      </w:rPr>
      <w:t xml:space="preserve">Governance Document – GC Draft 4.1 (Redline with “accepted” changes 10/10/01)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center" w:pos="4320" w:leader="none"/>
        <w:tab w:val="decimal" w:pos="9360" w:leader="none"/>
      </w:tabs>
      <w:spacing w:before="100" w:after="0"/>
      <w:rPr>
        <w:rFonts w:ascii="Arial" w:hAnsi="Arial" w:cs="Arial"/>
        <w:b/>
        <w:sz w:val="28"/>
      </w:rPr>
    </w:pPr>
    <w:r>
      <w:rPr>
        <w:rFonts w:cs="Arial" w:ascii="Arial" w:hAnsi="Arial"/>
        <w:b/>
        <w:sz w:val="24"/>
      </w:rPr>
      <w:t>Appendix A – Excerpt from GISB “Strawman 2”</w:t>
    </w:r>
    <w:r>
      <w:rPr>
        <w:rFonts w:cs="Arial" w:ascii="Arial" w:hAnsi="Arial"/>
        <w:b/>
        <w:sz w:val="28"/>
      </w:rPr>
      <w:t xml:space="preserve"> </w:t>
      <w:tab/>
    </w:r>
    <w:r>
      <w:rPr>
        <w:rFonts w:cs="Arial" w:ascii="Arial" w:hAnsi="Arial"/>
        <w:b/>
      </w:rPr>
      <w:t>Retail Electric Standards Board</w:t>
    </w:r>
  </w:p>
  <w:p>
    <w:pPr>
      <w:pStyle w:val="Header"/>
      <w:widowControl/>
      <w:pBdr>
        <w:bottom w:val="single" w:sz="12" w:space="1" w:color="000000"/>
      </w:pBdr>
      <w:spacing w:before="0" w:after="240"/>
      <w:jc w:val="end"/>
      <w:rPr>
        <w:rFonts w:ascii="Arial" w:hAnsi="Arial" w:cs="Arial"/>
      </w:rPr>
    </w:pPr>
    <w:r>
      <w:rPr>
        <w:rFonts w:cs="Arial" w:ascii="Arial" w:hAnsi="Arial"/>
      </w:rPr>
      <w:t>Governance Document – GC Draft 4.1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100" w:after="0"/>
      <w:jc w:val="end"/>
      <w:rPr>
        <w:rFonts w:ascii="Arial" w:hAnsi="Arial" w:cs="Arial"/>
        <w:b/>
        <w:sz w:val="28"/>
      </w:rPr>
    </w:pPr>
    <w:r>
      <w:rPr>
        <w:rFonts w:cs="Arial" w:ascii="Arial" w:hAnsi="Arial"/>
        <w:b/>
        <w:sz w:val="28"/>
      </w:rPr>
      <w:t>Retail Electric Standards Board</w:t>
    </w:r>
  </w:p>
  <w:p>
    <w:pPr>
      <w:pStyle w:val="Header"/>
      <w:widowControl/>
      <w:pBdr>
        <w:bottom w:val="single" w:sz="12" w:space="1" w:color="000000"/>
      </w:pBdr>
      <w:spacing w:before="0" w:after="240"/>
      <w:jc w:val="end"/>
      <w:rPr>
        <w:rFonts w:ascii="Arial" w:hAnsi="Arial" w:cs="Arial"/>
      </w:rPr>
    </w:pPr>
    <w:r>
      <w:rPr>
        <w:rFonts w:cs="Arial" w:ascii="Arial" w:hAnsi="Arial"/>
      </w:rPr>
      <w:t>Governance Document – Draft 3.0</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6">
    <w:lvl w:ilvl="0">
      <w:start w:val="1"/>
      <w:numFmt w:val="upperRoman"/>
      <w:lvlText w:val="%1."/>
      <w:lvlJc w:val="center"/>
      <w:pPr>
        <w:tabs>
          <w:tab w:val="num" w:pos="360"/>
        </w:tabs>
        <w:ind w:start="0" w:hanging="0"/>
      </w:pPr>
      <w:rPr>
        <w:caps/>
        <w:sz w:val="27"/>
        <w:i w:val="false"/>
        <w:b/>
        <w:rFonts w:ascii="CG Times" w:hAnsi="CG Times" w:cs="CG Times"/>
      </w:rPr>
    </w:lvl>
    <w:lvl w:ilvl="1">
      <w:start w:val="1"/>
      <w:numFmt w:val="upperLetter"/>
      <w:lvlText w:val="%2."/>
      <w:lvlJc w:val="start"/>
      <w:pPr>
        <w:tabs>
          <w:tab w:val="num" w:pos="1080"/>
        </w:tabs>
        <w:ind w:start="0" w:firstLine="720"/>
      </w:pPr>
      <w:rPr>
        <w:sz w:val="25"/>
        <w:i w:val="false"/>
        <w:b/>
        <w:rFonts w:ascii="CG Times" w:hAnsi="CG Times" w:cs="CG Times"/>
      </w:rPr>
    </w:lvl>
    <w:lvl w:ilvl="2">
      <w:start w:val="1"/>
      <w:numFmt w:val="decimal"/>
      <w:lvlText w:val="%3."/>
      <w:lvlJc w:val="start"/>
      <w:pPr>
        <w:tabs>
          <w:tab w:val="num" w:pos="1800"/>
        </w:tabs>
        <w:ind w:start="0" w:firstLine="1440"/>
      </w:pPr>
      <w:rPr>
        <w:sz w:val="25"/>
        <w:i w:val="false"/>
        <w:b/>
        <w:rFonts w:ascii="CG Times" w:hAnsi="CG Times" w:cs="CG Times"/>
      </w:rPr>
    </w:lvl>
    <w:lvl w:ilvl="3">
      <w:start w:val="1"/>
      <w:numFmt w:val="lowerLetter"/>
      <w:lvlText w:val="%4."/>
      <w:lvlJc w:val="start"/>
      <w:pPr>
        <w:tabs>
          <w:tab w:val="num" w:pos="2520"/>
        </w:tabs>
        <w:ind w:start="0" w:firstLine="2160"/>
      </w:pPr>
      <w:rPr>
        <w:sz w:val="25"/>
        <w:i w:val="false"/>
        <w:b/>
        <w:rFonts w:ascii="CG Times" w:hAnsi="CG Times" w:cs="CG Times"/>
      </w:rPr>
    </w:lvl>
    <w:lvl w:ilvl="4">
      <w:start w:val="1"/>
      <w:numFmt w:val="decimal"/>
      <w:lvlText w:val="(%5)"/>
      <w:lvlJc w:val="start"/>
      <w:pPr>
        <w:tabs>
          <w:tab w:val="num" w:pos="3240"/>
        </w:tabs>
        <w:ind w:start="0" w:firstLine="2880"/>
      </w:pPr>
      <w:rPr>
        <w:sz w:val="25"/>
        <w:i w:val="false"/>
        <w:b/>
        <w:rFonts w:ascii="CG Times" w:hAnsi="CG Times" w:cs="CG Times"/>
      </w:r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0"/>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0"/>
    </w:pPr>
    <w:rPr>
      <w:rFonts w:ascii="Bookman Old Style" w:hAnsi="Bookman Old Style" w:eastAsia="Times New Roman" w:cs="Bookman Old Style"/>
      <w:color w:val="auto"/>
      <w:sz w:val="20"/>
      <w:szCs w:val="20"/>
      <w:lang w:val="en-US" w:bidi="ar-SA" w:eastAsia="zh-CN"/>
    </w:rPr>
  </w:style>
  <w:style w:type="paragraph" w:styleId="Heading1">
    <w:name w:val="heading 1"/>
    <w:basedOn w:val="Normal"/>
    <w:next w:val="Normal"/>
    <w:qFormat/>
    <w:pPr>
      <w:keepNext w:val="true"/>
      <w:widowControl/>
      <w:numPr>
        <w:ilvl w:val="0"/>
        <w:numId w:val="1"/>
      </w:numPr>
      <w:outlineLvl w:val="0"/>
    </w:pPr>
    <w:rPr>
      <w:b/>
    </w:rPr>
  </w:style>
  <w:style w:type="paragraph" w:styleId="Heading2">
    <w:name w:val="heading 2"/>
    <w:basedOn w:val="Normal"/>
    <w:next w:val="Normal"/>
    <w:qFormat/>
    <w:pPr>
      <w:keepNext w:val="true"/>
      <w:widowControl/>
      <w:numPr>
        <w:ilvl w:val="1"/>
        <w:numId w:val="1"/>
      </w:numPr>
      <w:tabs>
        <w:tab w:val="left" w:pos="-720" w:leader="none"/>
        <w:tab w:val="left" w:pos="0" w:leader="none"/>
        <w:tab w:val="left" w:pos="720" w:leader="none"/>
      </w:tabs>
      <w:suppressAutoHyphens w:val="true"/>
      <w:spacing w:before="0" w:after="0"/>
      <w:ind w:hanging="1440" w:start="2880" w:end="0"/>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jc w:val="center"/>
      <w:outlineLvl w:val="2"/>
    </w:pPr>
    <w:rPr>
      <w:b/>
      <w:u w:val="single"/>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ind w:firstLine="720" w:start="0" w:end="0"/>
      <w:jc w:val="center"/>
      <w:outlineLvl w:val="4"/>
    </w:pPr>
    <w:rPr>
      <w:rFonts w:ascii="Brush Script;Courier New" w:hAnsi="Brush Script;Courier New" w:cs="Brush Script;Courier New"/>
      <w:sz w:val="44"/>
    </w:rPr>
  </w:style>
  <w:style w:type="paragraph" w:styleId="Heading6">
    <w:name w:val="heading 6"/>
    <w:basedOn w:val="Normal"/>
    <w:next w:val="Normal"/>
    <w:qFormat/>
    <w:pPr>
      <w:keepNext w:val="true"/>
      <w:numPr>
        <w:ilvl w:val="5"/>
        <w:numId w:val="1"/>
      </w:numPr>
      <w:jc w:val="both"/>
      <w:outlineLvl w:val="5"/>
    </w:pPr>
    <w:rPr>
      <w:b/>
    </w:rPr>
  </w:style>
  <w:style w:type="paragraph" w:styleId="Heading7">
    <w:name w:val="heading 7"/>
    <w:basedOn w:val="Normal"/>
    <w:next w:val="Normal"/>
    <w:qFormat/>
    <w:pPr>
      <w:keepNext w:val="true"/>
      <w:numPr>
        <w:ilvl w:val="6"/>
        <w:numId w:val="1"/>
      </w:numPr>
      <w:spacing w:before="0" w:after="0"/>
      <w:jc w:val="both"/>
      <w:outlineLvl w:val="6"/>
    </w:pPr>
    <w:rPr>
      <w:rFonts w:ascii="Coronet" w:hAnsi="Coronet" w:cs="Coronet"/>
      <w:sz w:val="36"/>
    </w:rPr>
  </w:style>
  <w:style w:type="paragraph" w:styleId="Heading8">
    <w:name w:val="heading 8"/>
    <w:basedOn w:val="Normal"/>
    <w:next w:val="Normal"/>
    <w:qFormat/>
    <w:pPr>
      <w:keepNext w:val="true"/>
      <w:numPr>
        <w:ilvl w:val="7"/>
        <w:numId w:val="1"/>
      </w:numPr>
      <w:jc w:val="center"/>
      <w:outlineLvl w:val="7"/>
    </w:pPr>
    <w:rPr>
      <w:u w:val="single"/>
    </w:rPr>
  </w:style>
  <w:style w:type="paragraph" w:styleId="Heading9">
    <w:name w:val="heading 9"/>
    <w:basedOn w:val="Normal"/>
    <w:next w:val="Normal"/>
    <w:qFormat/>
    <w:pPr>
      <w:keepNext w:val="true"/>
      <w:numPr>
        <w:ilvl w:val="8"/>
        <w:numId w:val="1"/>
      </w:numPr>
      <w:spacing w:before="0" w:after="0"/>
      <w:jc w:val="center"/>
      <w:outlineLvl w:val="8"/>
    </w:pPr>
    <w:rPr>
      <w:b/>
      <w:sz w:val="24"/>
    </w:rPr>
  </w:style>
  <w:style w:type="character" w:styleId="WW8Num1z0">
    <w:name w:val="WW8Num1z0"/>
    <w:qFormat/>
    <w:rPr>
      <w:rFonts w:ascii="CG Times" w:hAnsi="CG Times" w:cs="CG Times"/>
      <w:b/>
      <w:smallCaps/>
      <w:sz w:val="24"/>
    </w:rPr>
  </w:style>
  <w:style w:type="character" w:styleId="WW8Num1z1">
    <w:name w:val="WW8Num1z1"/>
    <w:qFormat/>
    <w:rPr>
      <w:rFonts w:ascii="CG Times" w:hAnsi="CG Times" w:cs="CG Times"/>
      <w:b/>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color w:val="auto"/>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color w:val="auto"/>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color w:val="auto"/>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rPr>
  </w:style>
  <w:style w:type="character" w:styleId="WW8Num54z0">
    <w:name w:val="WW8Num54z0"/>
    <w:qFormat/>
    <w:rPr>
      <w:rFonts w:ascii="Times New Roman" w:hAnsi="Times New Roman" w:cs="Times New Roman"/>
      <w:b/>
      <w:i w:val="false"/>
      <w:sz w:val="24"/>
      <w:u w:val="none"/>
    </w:rPr>
  </w:style>
  <w:style w:type="character" w:styleId="WW8Num55z0">
    <w:name w:val="WW8Num55z0"/>
    <w:qFormat/>
    <w:rPr>
      <w:rFonts w:ascii="Symbol" w:hAnsi="Symbol" w:cs="Symbol"/>
      <w:color w:val="auto"/>
    </w:rPr>
  </w:style>
  <w:style w:type="character" w:styleId="WW8Num56z0">
    <w:name w:val="WW8Num56z0"/>
    <w:qFormat/>
    <w:rPr>
      <w:rFonts w:ascii="Symbol" w:hAnsi="Symbol" w:cs="Symbol"/>
      <w:color w:val="auto"/>
    </w:rPr>
  </w:style>
  <w:style w:type="character" w:styleId="WW8Num57z0">
    <w:name w:val="WW8Num57z0"/>
    <w:qFormat/>
    <w:rPr>
      <w:rFonts w:ascii="Symbol" w:hAnsi="Symbol" w:cs="Symbol"/>
    </w:rPr>
  </w:style>
  <w:style w:type="character" w:styleId="WW8Num58z0">
    <w:name w:val="WW8Num58z0"/>
    <w:qFormat/>
    <w:rPr>
      <w:rFonts w:ascii="Symbol" w:hAnsi="Symbol" w:cs="Symbol"/>
      <w:color w:val="auto"/>
    </w:rPr>
  </w:style>
  <w:style w:type="character" w:styleId="WW8Num59z0">
    <w:name w:val="WW8Num59z0"/>
    <w:qFormat/>
    <w:rPr>
      <w:rFonts w:ascii="Symbol" w:hAnsi="Symbol" w:cs="Symbol"/>
      <w:color w:val="auto"/>
    </w:rPr>
  </w:style>
  <w:style w:type="character" w:styleId="WW8Num60z0">
    <w:name w:val="WW8Num60z0"/>
    <w:qFormat/>
    <w:rPr>
      <w:rFonts w:ascii="Symbol" w:hAnsi="Symbol" w:cs="Symbol"/>
      <w:color w:val="auto"/>
    </w:rPr>
  </w:style>
  <w:style w:type="character" w:styleId="WW8Num61z0">
    <w:name w:val="WW8Num61z0"/>
    <w:qFormat/>
    <w:rPr>
      <w:rFonts w:ascii="Wingdings" w:hAnsi="Wingdings" w:cs="Wingdings"/>
    </w:rPr>
  </w:style>
  <w:style w:type="character" w:styleId="WW8NumSt46z0">
    <w:name w:val="WW8NumSt46z0"/>
    <w:qFormat/>
    <w:rPr>
      <w:rFonts w:ascii="CG Times" w:hAnsi="CG Times" w:cs="CG Times"/>
      <w:b/>
      <w:i w:val="false"/>
      <w:caps/>
      <w:sz w:val="27"/>
    </w:rPr>
  </w:style>
  <w:style w:type="character" w:styleId="WW8NumSt46z1">
    <w:name w:val="WW8NumSt46z1"/>
    <w:qFormat/>
    <w:rPr>
      <w:rFonts w:ascii="CG Times" w:hAnsi="CG Times" w:cs="CG Times"/>
      <w:b/>
      <w:i w:val="false"/>
      <w:sz w:val="25"/>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spacing w:before="0" w:after="0"/>
      <w:jc w:val="center"/>
    </w:pPr>
    <w:rPr>
      <w:rFonts w:ascii="Arial" w:hAnsi="Arial" w:cs="Arial"/>
      <w:b/>
      <w:sz w:val="24"/>
    </w:rPr>
  </w:style>
  <w:style w:type="paragraph" w:styleId="BodyText">
    <w:name w:val="Body Text"/>
    <w:basedOn w:val="Normal"/>
    <w:pPr>
      <w:widowControl/>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rFonts w:ascii="Arial" w:hAnsi="Arial" w:cs="Arial"/>
    </w:rPr>
  </w:style>
  <w:style w:type="paragraph" w:styleId="BodyTextIndent2">
    <w:name w:val="Body Text Indent 2"/>
    <w:basedOn w:val="Normal"/>
    <w:qFormat/>
    <w:pPr>
      <w:ind w:hanging="0" w:start="1440" w:end="0"/>
      <w:jc w:val="both"/>
    </w:pPr>
    <w:rPr>
      <w:rFonts w:ascii="Arial" w:hAnsi="Arial" w:cs="Arial"/>
    </w:rPr>
  </w:style>
  <w:style w:type="paragraph" w:styleId="BodyTextIndent3">
    <w:name w:val="Body Text Indent 3"/>
    <w:basedOn w:val="Normal"/>
    <w:qFormat/>
    <w:pPr>
      <w:widowControl/>
      <w:ind w:hanging="1440" w:start="1440" w:end="0"/>
    </w:pPr>
    <w:rPr>
      <w:rFonts w:ascii="Arial" w:hAnsi="Arial" w:cs="Arial"/>
    </w:rPr>
  </w:style>
  <w:style w:type="paragraph" w:styleId="TableFormat">
    <w:name w:val="Table Forma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898" w:leader="none"/>
        <w:tab w:val="left" w:pos="8628" w:leader="none"/>
      </w:tabs>
      <w:bidi w:val="0"/>
      <w:spacing w:lineRule="atLeast" w:line="240" w:before="120" w:after="0"/>
    </w:pPr>
    <w:rPr>
      <w:rFonts w:ascii="Bookman Old Style" w:hAnsi="Bookman Old Style" w:eastAsia="Times New Roman" w:cs="Bookman Old Style"/>
      <w:color w:val="000000"/>
      <w:sz w:val="18"/>
      <w:szCs w:val="20"/>
      <w:lang w:val="en-US" w:bidi="ar-SA" w:eastAsia="zh-CN"/>
    </w:rPr>
  </w:style>
  <w:style w:type="paragraph" w:styleId="BodySingle">
    <w:name w:val="Body Single"/>
    <w:qFormat/>
    <w:pPr>
      <w:widowControl w:val="false"/>
      <w:bidi w:val="0"/>
      <w:spacing w:before="72" w:after="0"/>
      <w:jc w:val="both"/>
    </w:pPr>
    <w:rPr>
      <w:rFonts w:ascii="Helvetica" w:hAnsi="Helvetica" w:eastAsia="Times New Roman" w:cs="Helvetica"/>
      <w:color w:val="000000"/>
      <w:sz w:val="20"/>
      <w:szCs w:val="20"/>
      <w:lang w:val="en-US" w:bidi="ar-SA" w:eastAsia="zh-CN"/>
    </w:rPr>
  </w:style>
  <w:style w:type="paragraph" w:styleId="FootnoteText">
    <w:name w:val="footnote text"/>
    <w:basedOn w:val="Normal"/>
    <w:pPr/>
    <w:rPr/>
  </w:style>
  <w:style w:type="paragraph" w:styleId="TableText">
    <w:name w:val="Table Text"/>
    <w:qFormat/>
    <w:pPr>
      <w:widowControl/>
      <w:bidi w:val="0"/>
    </w:pPr>
    <w:rPr>
      <w:rFonts w:ascii="Arial Narrow" w:hAnsi="Arial Narrow" w:eastAsia="Times New Roman" w:cs="Arial Narrow"/>
      <w:color w:val="000000"/>
      <w:sz w:val="24"/>
      <w:szCs w:val="20"/>
      <w:lang w:val="en-US" w:bidi="ar-SA" w:eastAsia="zh-CN"/>
    </w:rPr>
  </w:style>
  <w:style w:type="paragraph" w:styleId="MWhang3">
    <w:name w:val="MWhang3"/>
    <w:basedOn w:val="Normal"/>
    <w:qFormat/>
    <w:pPr>
      <w:widowControl/>
      <w:suppressAutoHyphens w:val="true"/>
      <w:spacing w:before="0" w:after="240"/>
      <w:ind w:hanging="720" w:start="2160" w:end="0"/>
    </w:pPr>
    <w:rPr>
      <w:rFonts w:ascii="Times New Roman" w:hAnsi="Times New Roman" w:cs="Times New Roman"/>
      <w:sz w:val="24"/>
    </w:rPr>
  </w:style>
  <w:style w:type="paragraph" w:styleId="MWNum13j">
    <w:name w:val="MWNum13j"/>
    <w:basedOn w:val="Normal"/>
    <w:qFormat/>
    <w:pPr>
      <w:widowControl/>
      <w:numPr>
        <w:ilvl w:val="0"/>
        <w:numId w:val="5"/>
      </w:numPr>
      <w:tabs>
        <w:tab w:val="clear" w:pos="720"/>
      </w:tabs>
      <w:spacing w:before="0" w:after="240"/>
      <w:jc w:val="both"/>
    </w:pPr>
    <w:rPr>
      <w:rFonts w:ascii="Times New Roman" w:hAnsi="Times New Roman" w:cs="Times New Roman"/>
      <w:sz w:val="24"/>
    </w:rPr>
  </w:style>
  <w:style w:type="paragraph" w:styleId="PlainText">
    <w:name w:val="Plain Text"/>
    <w:basedOn w:val="Normal"/>
    <w:qFormat/>
    <w:pPr>
      <w:widowControl/>
      <w:spacing w:before="0" w:after="0"/>
    </w:pPr>
    <w:rPr>
      <w:rFonts w:ascii="Courier New" w:hAnsi="Courier New" w:cs="Courier New"/>
    </w:rPr>
  </w:style>
  <w:style w:type="paragraph" w:styleId="Level2">
    <w:name w:val="Level 2"/>
    <w:basedOn w:val="Normal"/>
    <w:qFormat/>
    <w:pPr>
      <w:widowControl/>
      <w:numPr>
        <w:ilvl w:val="0"/>
        <w:numId w:val="3"/>
      </w:numPr>
      <w:tabs>
        <w:tab w:val="clear" w:pos="720"/>
        <w:tab w:val="left" w:pos="360" w:leader="none"/>
      </w:tabs>
      <w:spacing w:before="0" w:after="0"/>
      <w:ind w:hanging="0" w:start="0" w:end="0"/>
      <w:outlineLvl w:val="1"/>
    </w:pPr>
    <w:rPr>
      <w:rFonts w:ascii="Times New Roman" w:hAnsi="Times New Roman" w:cs="Times New Roman"/>
      <w:sz w:val="24"/>
    </w:rPr>
  </w:style>
  <w:style w:type="paragraph" w:styleId="Level3">
    <w:name w:val="Level 3"/>
    <w:basedOn w:val="Normal"/>
    <w:qFormat/>
    <w:pPr>
      <w:widowControl/>
      <w:numPr>
        <w:ilvl w:val="0"/>
        <w:numId w:val="3"/>
      </w:numPr>
      <w:tabs>
        <w:tab w:val="clear" w:pos="720"/>
        <w:tab w:val="left" w:pos="360" w:leader="none"/>
      </w:tabs>
      <w:spacing w:before="0" w:after="0"/>
      <w:ind w:hanging="0" w:start="0" w:end="0"/>
      <w:outlineLvl w:val="2"/>
    </w:pPr>
    <w:rPr>
      <w:rFonts w:ascii="Times New Roman" w:hAnsi="Times New Roman" w:cs="Times New Roman"/>
      <w:sz w:val="24"/>
    </w:rPr>
  </w:style>
  <w:style w:type="paragraph" w:styleId="MWbl">
    <w:name w:val="MWbl"/>
    <w:basedOn w:val="Normal"/>
    <w:qFormat/>
    <w:pPr>
      <w:widowControl/>
      <w:suppressAutoHyphens w:val="true"/>
      <w:spacing w:before="0" w:after="240"/>
    </w:pPr>
    <w:rPr>
      <w:rFonts w:ascii="Times New Roman" w:hAnsi="Times New Roman" w:cs="Times New Roman"/>
      <w:sz w:val="24"/>
    </w:rPr>
  </w:style>
  <w:style w:type="paragraph" w:styleId="MWhang2">
    <w:name w:val="MWhang2"/>
    <w:basedOn w:val="Normal"/>
    <w:qFormat/>
    <w:pPr>
      <w:widowControl/>
      <w:suppressAutoHyphens w:val="true"/>
      <w:spacing w:before="0" w:after="240"/>
      <w:ind w:hanging="720" w:start="1440" w:end="0"/>
    </w:pPr>
    <w:rPr>
      <w:rFonts w:ascii="Times New Roman" w:hAnsi="Times New Roman" w:cs="Times New Roman"/>
      <w:sz w:val="24"/>
    </w:rPr>
  </w:style>
  <w:style w:type="paragraph" w:styleId="MWlri1d">
    <w:name w:val="MWlri1d"/>
    <w:basedOn w:val="Normal"/>
    <w:qFormat/>
    <w:pPr>
      <w:widowControl/>
      <w:suppressAutoHyphens w:val="true"/>
      <w:spacing w:lineRule="auto" w:line="480" w:before="0" w:after="0"/>
      <w:ind w:hanging="0" w:start="1440" w:end="1440"/>
    </w:pPr>
    <w:rPr>
      <w:rFonts w:ascii="Times New Roman" w:hAnsi="Times New Roman" w:cs="Times New Roman"/>
      <w:sz w:val="24"/>
    </w:rPr>
  </w:style>
  <w:style w:type="paragraph" w:styleId="MWtypist">
    <w:name w:val="MWtypist"/>
    <w:basedOn w:val="Normal"/>
    <w:qFormat/>
    <w:pPr>
      <w:widowControl/>
      <w:spacing w:before="0" w:after="0"/>
    </w:pPr>
    <w:rPr>
      <w:rFonts w:ascii="Times New Roman" w:hAnsi="Times New Roman" w:cs="Times New Roman"/>
      <w:sz w:val="24"/>
    </w:rPr>
  </w:style>
  <w:style w:type="paragraph" w:styleId="Title2">
    <w:name w:val="Title2"/>
    <w:basedOn w:val="Normal"/>
    <w:qFormat/>
    <w:pPr>
      <w:spacing w:before="0" w:after="0"/>
      <w:ind w:hanging="0" w:start="0" w:end="-25"/>
    </w:pPr>
    <w:rPr>
      <w:rFonts w:ascii="Times New Roman" w:hAnsi="Times New Roman" w:cs="Times New Roman"/>
      <w:b/>
    </w:rPr>
  </w:style>
  <w:style w:type="paragraph" w:styleId="Level4">
    <w:name w:val="Level 4"/>
    <w:basedOn w:val="Normal"/>
    <w:qFormat/>
    <w:pPr>
      <w:tabs>
        <w:tab w:val="clear" w:pos="720"/>
        <w:tab w:val="left" w:pos="2520" w:leader="none"/>
      </w:tabs>
      <w:spacing w:before="0" w:after="0"/>
      <w:ind w:firstLine="2160" w:start="0" w:end="0"/>
      <w:outlineLvl w:val="3"/>
    </w:pPr>
    <w:rPr>
      <w:rFonts w:ascii="CG Times" w:hAnsi="CG Times" w:cs="CG Times"/>
      <w:sz w:val="24"/>
    </w:rPr>
  </w:style>
  <w:style w:type="paragraph" w:styleId="Level1">
    <w:name w:val="Level 1"/>
    <w:basedOn w:val="Normal"/>
    <w:qFormat/>
    <w:pPr>
      <w:numPr>
        <w:ilvl w:val="0"/>
        <w:numId w:val="6"/>
      </w:numPr>
      <w:tabs>
        <w:tab w:val="clear" w:pos="720"/>
      </w:tabs>
      <w:spacing w:before="0" w:after="0"/>
      <w:ind w:hanging="720" w:start="720" w:end="0"/>
      <w:outlineLvl w:val="0"/>
    </w:pPr>
    <w:rPr>
      <w:rFonts w:ascii="CG Times" w:hAnsi="CG Times" w:cs="CG Times"/>
      <w:sz w:val="24"/>
    </w:rPr>
  </w:style>
  <w:style w:type="paragraph" w:styleId="Level5">
    <w:name w:val="Level 5"/>
    <w:basedOn w:val="Normal"/>
    <w:qFormat/>
    <w:pPr>
      <w:spacing w:before="0" w:after="0"/>
      <w:outlineLvl w:val="4"/>
    </w:pPr>
    <w:rPr>
      <w:rFonts w:ascii="CG Times" w:hAnsi="CG Times" w:cs="CG Times"/>
      <w:sz w:val="24"/>
    </w:rPr>
  </w:style>
  <w:style w:type="paragraph" w:styleId="BodyText2">
    <w:name w:val="Body Text 2"/>
    <w:basedOn w:val="Normal"/>
    <w:qFormat/>
    <w:pPr/>
    <w:rPr>
      <w:rFonts w:ascii="Arial" w:hAnsi="Arial" w:cs="Arial"/>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oleObject" Target="embeddings/oleObject1.bin"/><Relationship Id="rId5" Type="http://schemas.openxmlformats.org/officeDocument/2006/relationships/image" Target="media/image1.wmf"/><Relationship Id="rId6" Type="http://schemas.openxmlformats.org/officeDocument/2006/relationships/oleObject" Target="embeddings/oleObject2.bin"/><Relationship Id="rId7" Type="http://schemas.openxmlformats.org/officeDocument/2006/relationships/image" Target="media/image2.wmf"/><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2001-10-19T09:21:00Z</dcterms:created>
  <dc:creator>Koch Ind</dc:creator>
  <dc:description/>
  <dc:language>en-CA</dc:language>
  <cp:lastModifiedBy>Nancy Hetrick</cp:lastModifiedBy>
  <cp:lastPrinted>2001-09-07T10:04:00Z</cp:lastPrinted>
  <dcterms:modified xsi:type="dcterms:W3CDTF">2001-10-19T09:21:00Z</dcterms:modified>
  <cp:revision>2</cp:revision>
  <dc:subject/>
  <dc:title>Business Practices Subcommittee</dc:title>
</cp:coreProperties>
</file>