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BEFORE THE PUBLIC UTILITIES COMMISSION</w:t>
      </w:r>
    </w:p>
    <w:p>
      <w:pPr>
        <w:pStyle w:val="Normal"/>
        <w:jc w:val="center"/>
        <w:rPr>
          <w:b/>
        </w:rPr>
      </w:pPr>
      <w:r>
        <w:rPr>
          <w:b/>
        </w:rPr>
        <w:t>OF THE STATE OF CALIFORNIA</w:t>
      </w:r>
    </w:p>
    <w:p>
      <w:pPr>
        <w:pStyle w:val="Normal"/>
        <w:rPr/>
      </w:pPr>
      <w:r>
        <w:rPr/>
      </w:r>
    </w:p>
    <w:p>
      <w:pPr>
        <w:pStyle w:val="Normal"/>
        <w:tabs>
          <w:tab w:val="clear" w:pos="720"/>
          <w:tab w:val="left" w:pos="360" w:leader="none"/>
        </w:tabs>
        <w:ind w:end="-3060"/>
        <w:rPr/>
      </w:pPr>
      <w:r>
        <w:rPr/>
        <w:t xml:space="preserve">Investigation on the Commission's Own </w:t>
        <w:tab/>
        <w:tab/>
        <w:t xml:space="preserve">) </w:t>
        <w:tab/>
      </w:r>
    </w:p>
    <w:p>
      <w:pPr>
        <w:pStyle w:val="Normal"/>
        <w:rPr/>
      </w:pPr>
      <w:r>
        <w:rPr/>
        <w:t>Motion to Consider the Costs and Benefits</w:t>
        <w:tab/>
        <w:tab/>
        <w:t>)</w:t>
      </w:r>
    </w:p>
    <w:p>
      <w:pPr>
        <w:pStyle w:val="Normal"/>
        <w:rPr/>
      </w:pPr>
      <w:r>
        <w:rPr/>
        <w:t xml:space="preserve">of Various Promising Revisions to the </w:t>
        <w:tab/>
        <w:tab/>
        <w:t>)</w:t>
      </w:r>
    </w:p>
    <w:p>
      <w:pPr>
        <w:pStyle w:val="Normal"/>
        <w:tabs>
          <w:tab w:val="clear" w:pos="720"/>
          <w:tab w:val="left" w:pos="360" w:leader="none"/>
        </w:tabs>
        <w:ind w:end="-3060"/>
        <w:rPr/>
      </w:pPr>
      <w:r>
        <w:rPr/>
        <w:t xml:space="preserve">Regulatory and Market Structure Governing </w:t>
        <w:tab/>
        <w:tab/>
        <w:t>)</w:t>
        <w:tab/>
        <w:t>Investigation 99-07-003</w:t>
      </w:r>
    </w:p>
    <w:p>
      <w:pPr>
        <w:pStyle w:val="Normal"/>
        <w:rPr/>
      </w:pPr>
      <w:r>
        <w:rPr/>
        <w:t>California's Natural Gas Industry and to report</w:t>
        <w:tab/>
        <w:t>)</w:t>
      </w:r>
    </w:p>
    <w:p>
      <w:pPr>
        <w:pStyle w:val="Normal"/>
        <w:rPr/>
      </w:pPr>
      <w:r>
        <w:rPr/>
        <w:t xml:space="preserve">to the California Legislature on the Commission’s </w:t>
        <w:tab/>
        <w:t>)</w:t>
      </w:r>
    </w:p>
    <w:p>
      <w:pPr>
        <w:pStyle w:val="Normal"/>
        <w:rPr/>
      </w:pPr>
      <w:r>
        <w:rPr/>
        <w:t>Findings.</w:t>
        <w:tab/>
        <w:tab/>
        <w:tab/>
        <w:tab/>
        <w:tab/>
        <w:tab/>
        <w:t>)</w:t>
      </w:r>
    </w:p>
    <w:p>
      <w:pPr>
        <w:pStyle w:val="Normal"/>
        <w:rPr/>
      </w:pPr>
      <w:r>
        <w:rPr/>
        <w:t>__________________________________________)</w:t>
      </w:r>
    </w:p>
    <w:p>
      <w:pPr>
        <w:pStyle w:val="Normal"/>
        <w:rPr>
          <w:b/>
        </w:rPr>
      </w:pPr>
      <w:r>
        <w:rPr>
          <w:b/>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jc w:val="center"/>
        <w:rPr>
          <w:b/>
        </w:rPr>
      </w:pPr>
      <w:r>
        <w:rPr>
          <w:b/>
        </w:rPr>
        <w:t xml:space="preserve">REPLY BRIEF OF EL PASO NATURAL GAS COMPANY </w:t>
      </w:r>
    </w:p>
    <w:p>
      <w:pPr>
        <w:pStyle w:val="Normal"/>
        <w:jc w:val="center"/>
        <w:rPr>
          <w:b/>
        </w:rPr>
      </w:pPr>
      <w:r>
        <w:rPr>
          <w:b/>
        </w:rPr>
        <w:t>IN SUPPORT OF COMPREHENSIVE SETTLEMENT</w:t>
      </w:r>
    </w:p>
    <w:p>
      <w:pPr>
        <w:pStyle w:val="Normal"/>
        <w:rPr/>
      </w:pPr>
      <w:r>
        <w:rPr/>
      </w:r>
    </w:p>
    <w:p>
      <w:pPr>
        <w:pStyle w:val="Normal"/>
        <w:spacing w:lineRule="auto" w:line="360"/>
        <w:ind w:firstLine="720" w:end="0"/>
        <w:rPr/>
      </w:pPr>
      <w:r>
        <w:rPr/>
        <w:t xml:space="preserve">Pursuant to Rule 75 of the Rules of Practice and Procedure of the California Public Utilities Commission ("CPUC" or "the Commission"), El Paso Natural Gas Company ("El Paso") hereby submits its reply brief on issues pertaining to the restructuring of the Southern California Gas Company ("SoCalGas") natural gas system in the above-captioned proceeding.  </w:t>
      </w:r>
    </w:p>
    <w:p>
      <w:pPr>
        <w:pStyle w:val="Normal"/>
        <w:spacing w:lineRule="auto" w:line="360"/>
        <w:ind w:firstLine="720" w:end="0"/>
        <w:rPr/>
      </w:pPr>
      <w:r>
        <w:rPr/>
        <w:t>On July 10, 2000, El Paso filed its Opening Brief in support of the Comprehensive Settlement</w:t>
      </w:r>
      <w:r>
        <w:rPr>
          <w:rStyle w:val="FootnoteCharacters"/>
          <w:rStyle w:val="FootnoteReference"/>
          <w:vertAlign w:val="superscript"/>
        </w:rPr>
        <w:footnoteReference w:id="2"/>
      </w:r>
      <w:r>
        <w:rPr/>
        <w:t xml:space="preserve"> and in opposition to the Interim</w:t>
      </w:r>
      <w:r>
        <w:rPr>
          <w:rStyle w:val="FootnoteCharacters"/>
          <w:rStyle w:val="FootnoteReference"/>
          <w:vertAlign w:val="superscript"/>
        </w:rPr>
        <w:footnoteReference w:id="3"/>
      </w:r>
      <w:r>
        <w:rPr/>
        <w:t xml:space="preserve"> and Post-Interim Settlements</w:t>
      </w:r>
      <w:r>
        <w:rPr>
          <w:rStyle w:val="FootnoteCharacters"/>
          <w:rStyle w:val="FootnoteReference"/>
          <w:vertAlign w:val="superscript"/>
        </w:rPr>
        <w:footnoteReference w:id="4"/>
      </w:r>
      <w:r>
        <w:rPr/>
        <w:t xml:space="preserve"> and to the alternative proposal of Pacific Gas and Electric Company ("PG&amp;E") for allocation of firm capacity rights at SoCalGas' Wheeler Ridge receipt point.  In this reply brief, El Paso responds to PG&amp;E's attempt to support its proposed allocation of capacity rights at Wheeler Ridge and to the overstatements of several parties concerning the breadth and depth of parties' support for the Interim Settlement.  </w:t>
      </w:r>
    </w:p>
    <w:p>
      <w:pPr>
        <w:pStyle w:val="Normal"/>
        <w:rPr/>
      </w:pPr>
      <w:r>
        <w:rPr/>
      </w:r>
    </w:p>
    <w:p>
      <w:pPr>
        <w:pStyle w:val="Heading1"/>
        <w:numPr>
          <w:ilvl w:val="0"/>
          <w:numId w:val="2"/>
        </w:numPr>
        <w:rPr/>
      </w:pPr>
      <w:r>
        <w:rPr/>
        <w:t>PG&amp;E's Criticism Of The Allocation Of Capacity Rights At Wheeler Ridge</w:t>
      </w:r>
    </w:p>
    <w:p>
      <w:pPr>
        <w:pStyle w:val="Normal"/>
        <w:ind w:firstLine="720" w:end="0"/>
        <w:rPr>
          <w:b/>
        </w:rPr>
      </w:pPr>
      <w:r>
        <w:rPr>
          <w:b/>
        </w:rPr>
        <w:t xml:space="preserve">Under the Comprehensive Settlement Is Completely Unfounded And Its </w:t>
      </w:r>
    </w:p>
    <w:p>
      <w:pPr>
        <w:pStyle w:val="Normal"/>
        <w:ind w:firstLine="720" w:end="0"/>
        <w:rPr>
          <w:b/>
        </w:rPr>
      </w:pPr>
      <w:r>
        <w:rPr>
          <w:b/>
        </w:rPr>
        <w:t xml:space="preserve">Alternative Unnecessarily Restrictive And Counterproductive </w:t>
      </w:r>
    </w:p>
    <w:p>
      <w:pPr>
        <w:pStyle w:val="Normal"/>
        <w:rPr/>
      </w:pPr>
      <w:r>
        <w:rPr/>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spacing w:lineRule="auto" w:line="360"/>
        <w:ind w:firstLine="720" w:end="0"/>
        <w:rPr/>
      </w:pPr>
      <w:r>
        <w:rPr/>
        <w:t xml:space="preserve">PG&amp;E has taken no position on the Comprehensive Settlement, but has criticized the Comprehensive Settlement's allocation of receipt point capacity at Wheeler Ridge.  PG&amp;E has argued that the Comprehensive Settlement fails to explain why it allocates rights at Wheeler Ridge in "two distinct packages" of rights rather than at physical interconnections and why shippers using PG&amp;E and Occidental Petroleum ("Oxy") "must share" Wheeler Ridge (north) rights while shippers using Kern/Mojave are not required to share Wheeler Ridge (south) rights.  PG&amp;E Opening Brief, p. 3.  PG&amp;E claims that the Comprehensive Settlement fails to fairly allocate capacity, favors deliveries from Kern/Mojave and would unnecessarily limit access to Canadian gas delivered through PG&amp;E's system.  PG&amp;E Opening Brief, p. 2-4.  To remedy these alleged deficiencies, PG&amp;E has proposed what it claims is "an improvement" in the allocation of capacity at Wheeler Ridge.  PG&amp;E Opening Brief, p. 1.  PG&amp;E's criticism is, however, completely unfounded and its alternative for allocating capacity rights at Wheeler Ridge completely counterproductive. </w:t>
      </w:r>
    </w:p>
    <w:p>
      <w:pPr>
        <w:pStyle w:val="Normal"/>
        <w:spacing w:lineRule="auto" w:line="360"/>
        <w:ind w:firstLine="720" w:end="0"/>
        <w:rPr/>
      </w:pPr>
      <w:r>
        <w:rPr/>
        <w:t>The Comprehensive Settlement establishes a system of tradable intrastate receipt point rights and a means of allocating such rights which is based upon the physical configuration and maximum firm operating capacity of the system at each receipt point.</w:t>
      </w:r>
      <w:r>
        <w:rPr>
          <w:rStyle w:val="FootnoteCharacters"/>
          <w:rStyle w:val="FootnoteReference"/>
          <w:vertAlign w:val="superscript"/>
        </w:rPr>
        <w:footnoteReference w:id="5"/>
      </w:r>
      <w:r>
        <w:rPr/>
        <w:t xml:space="preserve">  Under the Comprehensive Settlement, the receipt point designated as the Wheeler Ridge receipt point is not a single interconnection at one geographic location, but rather consists of  a complex which includes separate interconnections between SoCalGas and PG&amp;E, Oxy, and Kern/Mojave.  PG&amp;E is </w:t>
      </w:r>
    </w:p>
    <w:p>
      <w:pPr>
        <w:pStyle w:val="Normal"/>
        <w:spacing w:lineRule="auto" w:line="360"/>
        <w:rPr/>
      </w:pPr>
      <w:r>
        <w:rPr/>
        <w:t xml:space="preserve">correct in stating that the Comprehensive Settlement allocates receipt point rights at the Wheeler </w:t>
      </w:r>
    </w:p>
    <w:p>
      <w:pPr>
        <w:pStyle w:val="Normal"/>
        <w:spacing w:lineRule="auto" w:line="360"/>
        <w:rPr/>
      </w:pPr>
      <w:r>
        <w:rPr/>
        <w:t xml:space="preserve">Ridge complex through two distinct packages of contract rights rather than by assigning rights at physical interconnections, but PG&amp;E either fails to understand or refuses to acknowledge the sound justification for doing so.  </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spacing w:lineRule="auto" w:line="360"/>
        <w:ind w:firstLine="720" w:end="0"/>
        <w:rPr/>
      </w:pPr>
      <w:r>
        <w:rPr/>
        <w:t xml:space="preserve">These packages are carefully structured to reflect a number of characteristics of this portion of the SoCalGas system, including: (1) the existence of physical interconnects between SoCalGas, PG&amp;E and Oxy near Kern River Station; (2) the existence of a separate physical interconnection between SoCalGas and Kern/Mojave at Wheeler Ridge, approximately 20 miles south of Kern River Station; (3) the maximum firm capacity of the SoCalGas system at the interconnections with PG&amp;E and Oxy, and between these interconnects at Kern River Station and Kern/Mojave at Wheeler Ridge, of 520 MMcf/d; (4) the maximum firm capacity of the SoCalGas system downstream of the interconnect with Kern/Mojave at Wheeler Ridge of 680 MMcf/d; (5) the physical reality that SoCalGas can not transport more than 520 MMcf/d into its system through the Wheeler Ridge complex unless at least 160 MMcf/d is received from Kern/Mojave at Wheeler Ridge; and (6) the flexibility inherent in the present system which permits shippers to use up to 520 MMcf/d of the 680 MMcf/d of firm capacity at Wheeler Ridge on a flexible basis to nominate gas on a day-to-day from any of the interconnected supply sources at the Wheeler Ridge complex as market conditions and individual shipper preferences dictate.  If these factors are taken into account, the allocation of capacity at Wheeler Ridge under the Comprehensive Settlement can be easily understood and must be considered well justified.  </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spacing w:lineRule="auto" w:line="360"/>
        <w:ind w:firstLine="720" w:end="0"/>
        <w:rPr/>
      </w:pPr>
      <w:r>
        <w:rPr/>
        <w:t>In order to fairly allocate and maximize use of the full firm 680 MMcf/d of physical capacity at the Wheeler Ridge complex, and preserve to the maximum extent possible the shipper flexibility inherent in these facilities, the parties to the Comprehensive Settlement determined that capacity rights on this portion of the system must be defined in "packages" rather than at specific, discrete, physical interconnections.  One package, referred to as "Wheeler Ridge (north)," was established with primary firm rights of 520 MMcf/d from any combination of Kern/Mojave, PG&amp;E or Oxy.  Establishing a package with rights defined in this manner ensures that the current flexibility inherent in the present system, to receive volumes of up to 520 MMcf/d from any combination of Kern/Mojave, PG&amp;E and Oxy, is fully preserved for the future benefit of shippers and end users on the SoCalGas system.  The remaining 160 MMcf/d of firm capacity at the Wheeler Ridge complex cannot be used with the same flexibility as the initial package of 520 MMcf/d because in order for SoCalGas to transport the full firm capacity of 680 MMcf/d through the Wheeler Ridge complex, SoCalGas must take the incremental volumes in excess of 520 MMcf/d from Kern/Mojave.  SoCalGas simply does not have the physical capability to take anything in excess of 520 MMcf/d from PG&amp;E or Oxy.  As a result, to permit maximum use of the available firm capacity at the Wheeler Ridge complex, a second package, defined as "Wheeler Ridge (south)," was established with firm primary rights of 160 MMcf/d from Kern/Mojave only and secondary rights from PG&amp;E or Oxy.  The basis for establishing these two packages of capacity rights is adequately justified and explained at Ex. 1, Appendix B, and Lorenz/SoCalGas, Ex 2, Attachment 1.</w:t>
      </w:r>
    </w:p>
    <w:p>
      <w:pPr>
        <w:pStyle w:val="Normal"/>
        <w:spacing w:lineRule="auto" w:line="360"/>
        <w:ind w:firstLine="720" w:end="0"/>
        <w:rPr/>
      </w:pPr>
      <w:r>
        <w:rPr/>
        <w:t xml:space="preserve">PG&amp;E's arguments against this allocation of capacity are largely dependent upon its mischaracterization of the nature and purpose of the allocation scheme established by the Comprehensive Settlement.  It is a complete misnomer, for example, for PG&amp;E to say shippers must "share" Wheeler Ridge (north) under the Comprehensive Settlement.  Properly understood, Wheeler Ridge (north) rights under the Comprehensive Settlement permit shippers to exercise full freedom of choice to nominate gas on a primary basis up to 520 MMcf/d from any interconnected source of supply they may desire.  To the extent there is any "sharing" of capacity, it consists of nothing more than sharing all firm primary rights which can be shared with all shippers at all interconnected supplies.  Rather than unnecessarily limiting access to gas supplies, the Comprehensive Settlement maximizes customer and shipper access to all available interconnected sources of supply. </w:t>
      </w:r>
    </w:p>
    <w:p>
      <w:pPr>
        <w:pStyle w:val="Normal"/>
        <w:spacing w:lineRule="auto" w:line="360"/>
        <w:ind w:firstLine="720" w:end="0"/>
        <w:rPr/>
      </w:pPr>
      <w:r>
        <w:rPr/>
        <w:t xml:space="preserve">In contrast to the Comprehensive Settlement, PG&amp;E's alternative proposal for allocation of capacity rights at Wheeler Ridge would unnecessarily restrict shipper choice and, as a result, would be completely counterproductive. Under PG&amp;E's proposal, all primary rights at Wheeler Ridge would be allocated through an open season and restricted to either PG&amp;E and Oxy or to Kern/Mojave.  None of the Wheeler Ridge capacity could be used on a flexible primary basis to transport gas from any interconnecting pipeline of the shipper's choice.  PG&amp;E's proposal would thus unnecessarily restrict the future freedom of shipper choice in the use of firm primary capacity </w:t>
      </w:r>
    </w:p>
    <w:p>
      <w:pPr>
        <w:pStyle w:val="Normal"/>
        <w:spacing w:lineRule="auto" w:line="360"/>
        <w:rPr/>
      </w:pPr>
      <w:r>
        <w:rPr/>
        <w:t xml:space="preserve">rights and would correspondingly, and unnecessarily restrict competition as well.  Accordingly, it should be rejected.      </w:t>
      </w:r>
      <w:r>
        <w:br w:type="page"/>
      </w:r>
    </w:p>
    <w:p>
      <w:pPr>
        <w:pStyle w:val="Normal"/>
        <w:widowControl/>
        <w:rPr>
          <w:b/>
        </w:rPr>
      </w:pPr>
      <w:r>
        <w:rPr>
          <w:b/>
        </w:rPr>
        <w:t>II.</w:t>
        <w:tab/>
        <w:t xml:space="preserve">Supporters Of The Interim Settlement Have Glossed Over Serious Flaws In The </w:t>
        <w:tab/>
        <w:t xml:space="preserve">Interim Settlement </w:t>
      </w:r>
    </w:p>
    <w:p>
      <w:pPr>
        <w:pStyle w:val="Normal"/>
        <w:rPr/>
      </w:pPr>
      <w:r>
        <w:rPr/>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spacing w:lineRule="auto" w:line="360"/>
        <w:ind w:firstLine="720" w:end="0"/>
        <w:rPr/>
      </w:pPr>
      <w:r>
        <w:rPr/>
        <w:t>In their opening briefs, several parties supporting the Interim Settlement implied that the Interim Settlement was so broadly supported that its adoption would be essentially noncontroversial.  Southwest Gas, for example, stated that, "the Interim Settlement was virtually unanimously supported by all interests in the California natural gas industry."  Southwest Gas Opening Brief, p. 8.  The Interim Settlement does contain provisions which were widely supported by all interests in the California gas industry, such as the provision for establishment of a formal receipt point at Hector Road</w:t>
      </w:r>
      <w:r>
        <w:rPr>
          <w:rStyle w:val="FootnoteCharacters"/>
          <w:rStyle w:val="FootnoteReference"/>
          <w:vertAlign w:val="superscript"/>
        </w:rPr>
        <w:footnoteReference w:id="6"/>
      </w:r>
      <w:r>
        <w:rPr/>
        <w:t xml:space="preserve">, but the Interim Settlement itself is not as broadly supported as Southwest Gas and others have implied.  Such representations overstate the present support for the Interim Settlement and, more importantly, ignore serious flaws in the Interim Settlement.  These flaws include the absence of any justification for the provision providing for the preferential expansion of SoCalGas' Wheeler Ridge receipt point, and the failure of the Interim Settlement to provide any permanent solution to SoCalGas' widely criticized "windowing" process.      </w:t>
        <w:tab/>
      </w:r>
    </w:p>
    <w:p>
      <w:pPr>
        <w:pStyle w:val="Normal"/>
        <w:spacing w:lineRule="auto" w:line="360"/>
        <w:ind w:firstLine="720" w:end="0"/>
        <w:rPr/>
      </w:pPr>
      <w:r>
        <w:rPr/>
        <w:t xml:space="preserve">In its testimony and Opening Brief, El Paso expressed clear opposition to the provision of the Interim Settlement providing for the preferential expansion of the Wheeler Ridge receipt point.  El Paso Opening Brief, p. 3, 9-13.  El Paso also demonstrated that no legally sufficient justification has been provided for the preferential expansion of Wheeler Ridge; to the extent there is evidence in the record of shipper demand, the evidence makes a more compelling case for expansion of receipt point capacity at Topock rather than at Wheeler Ridge; no justification has been provided for requiring the cost of expanding Wheeler Ridge to be recovered on a rolled in basis from SoCalGas' ratepayers, rather than on an incremental basis from shippers who use the expansion; and expansion of Wheeler Ridge was not among the promising options identified in D.99-07-015 and therefore is beyond the proper scope of this proceeding. </w:t>
        <w:tab/>
        <w:t xml:space="preserve">The flaws in this provision of the Interim Settlement were conveniently overlooked by supporters of the Interim Settlement in their opening briefs.  Not a single supporter of the Interim Settlement made any attempt to support the provision for the preferential expansion of Wheeler Ridge in their opening brief, probably because this provision has not been and cannot be justified.  It should accordingly be rejected.  </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spacing w:lineRule="auto" w:line="360"/>
        <w:ind w:firstLine="720" w:end="0"/>
        <w:rPr/>
      </w:pPr>
      <w:r>
        <w:rPr/>
        <w:t xml:space="preserve">Supporters of the Interim and Post-Interim Settlements have also glossed over problems inherent in the Interim Settlement's alternative to the current "windowing" process.  SoCalGas' "windowing" process for allocating day-to-day receipt point capacity into SoCalGas' system from upstream interstate pipelines has been widely criticized for creating substantial uncertainty regarding the availability of intrastate transmission capacity necessary for shippers to deliver natural gas to end use customers within SoCalGas' service territory on a consistent, reliable, firm basis.  Shipper nominations for delivery into the SoCalGas system from upstream interstate pipelines frequently exceed SoCalGas' takeaway capacity at popular receipt points, such as Topock, and, as a result, are routinely reduced through prorationing.  In response to these problems, the Commission, in D.99-07-015, identified the elimination of SoCalGas' "windowing" process and the establishment of tradable intrastate transmission rights as promising options for restructuring SoCalGas' natural gas system.  </w:t>
      </w:r>
    </w:p>
    <w:p>
      <w:pPr>
        <w:pStyle w:val="Normal"/>
        <w:spacing w:lineRule="auto" w:line="360"/>
        <w:ind w:firstLine="720" w:end="0"/>
        <w:rPr/>
      </w:pPr>
      <w:r>
        <w:rPr/>
        <w:t xml:space="preserve">The Interim Settlement, incorporated into the Post-Interim Settlement, does provide for the elimination of SoCalGas' "windowing" process in its current form, but neither the Interim nor Post-Interim Settlements establish any firm tradable intrastate transmission rights or any lasting or permanent solution to the problems caused by "windowing."  The Interim and Post-Interim Settlements would establish an alternative to "windowing" which would simply push the problem of allocating day-to-day intrastate capacity upstream to the interstate pipelines interconnected with SoCalGas.  </w:t>
      </w:r>
    </w:p>
    <w:p>
      <w:pPr>
        <w:pStyle w:val="Normal"/>
        <w:spacing w:lineRule="auto" w:line="360"/>
        <w:ind w:firstLine="720" w:end="0"/>
        <w:rPr/>
      </w:pPr>
      <w:r>
        <w:rPr/>
        <w:t xml:space="preserve">In contrast, the Comprehensive Settlement addresses the problems caused by "windowing" in a comprehensive and lasting manner.  The Comprehensive settlement would eliminate "windowing" and would relatively soon thereafter unbundle transmission and establish a system of firm, tradable, intrastate transmission rights.  Establishing such rights will provide a sound basis for SoCalGas to exercise its authority to control access to its intrastate transmission system and a lasting and permanent replacement for "windowing."  The failure of the Interim and Post-Interim Settlements to establish any similarly permanent solution to the widespread problems caused by SoCalGas' current "windowing" process is clearly a serious if not fatal flaw.   </w:t>
      </w:r>
    </w:p>
    <w:p>
      <w:pPr>
        <w:pStyle w:val="Normal"/>
        <w:rPr>
          <w:b/>
        </w:rPr>
      </w:pPr>
      <w:r>
        <w:rPr>
          <w:b/>
        </w:rPr>
      </w:r>
    </w:p>
    <w:p>
      <w:pPr>
        <w:pStyle w:val="Normal"/>
        <w:rPr>
          <w:b/>
        </w:rPr>
      </w:pPr>
      <w:r>
        <w:rPr>
          <w:b/>
        </w:rPr>
        <w:t>III.</w:t>
        <w:tab/>
        <w:t>Conclusion</w:t>
      </w:r>
    </w:p>
    <w:p>
      <w:pPr>
        <w:pStyle w:val="Normal"/>
        <w:rPr/>
      </w:pPr>
      <w:r>
        <w:rPr/>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BodyTextIndent"/>
        <w:rPr/>
      </w:pPr>
      <w:r>
        <w:rPr/>
        <w:t xml:space="preserve">For the reasons more fully described above and in El Paso's Opening Brief, El Paso recommends that the Commission reject the special provision in the Interim Settlement incorporated by reference into the Post-Interim Settlement for preferential expansion of Wheeler Ridge, approve the Comprehensive Settlement, and reject PG&amp;E's alternative proposal for the allocation of capacity rights at Wheeler Ridge.  </w:t>
      </w:r>
    </w:p>
    <w:p>
      <w:pPr>
        <w:pStyle w:val="Normal"/>
        <w:rPr/>
      </w:pPr>
      <w:r>
        <w:rPr/>
      </w:r>
    </w:p>
    <w:p>
      <w:pPr>
        <w:pStyle w:val="Normal"/>
        <w:rPr/>
      </w:pPr>
      <w:r>
        <w:rPr/>
      </w:r>
    </w:p>
    <w:p>
      <w:pPr>
        <w:pStyle w:val="Normal"/>
        <w:ind w:firstLine="4320" w:end="0"/>
        <w:rPr/>
      </w:pPr>
      <w:r>
        <w:rPr/>
        <w:t>Respectfully submitted,</w:t>
      </w:r>
    </w:p>
    <w:p>
      <w:pPr>
        <w:pStyle w:val="Normal"/>
        <w:rPr/>
      </w:pPr>
      <w:r>
        <w:rPr/>
      </w:r>
    </w:p>
    <w:p>
      <w:pPr>
        <w:pStyle w:val="Normal"/>
        <w:rPr/>
      </w:pPr>
      <w:r>
        <w:rPr/>
      </w:r>
    </w:p>
    <w:p>
      <w:pPr>
        <w:pStyle w:val="Normal"/>
        <w:rPr/>
      </w:pPr>
      <w:r>
        <w:rPr/>
        <w:tab/>
        <w:tab/>
        <w:tab/>
        <w:tab/>
        <w:tab/>
        <w:tab/>
      </w:r>
      <w:r>
        <w:rPr>
          <w:u w:val="single"/>
        </w:rPr>
        <w:t xml:space="preserve">                                                                      </w:t>
      </w:r>
    </w:p>
    <w:p>
      <w:pPr>
        <w:pStyle w:val="Normal"/>
        <w:ind w:firstLine="4320" w:end="0"/>
        <w:rPr/>
      </w:pPr>
      <w:r>
        <w:rPr/>
        <w:t>Edward W. O'Neill</w:t>
      </w:r>
    </w:p>
    <w:p>
      <w:pPr>
        <w:pStyle w:val="Normal"/>
        <w:ind w:firstLine="4320" w:end="0"/>
        <w:rPr/>
      </w:pPr>
      <w:r>
        <w:rPr/>
        <w:t>Jeffer, Mangels, Butler &amp; Marmaro LLP</w:t>
      </w:r>
    </w:p>
    <w:p>
      <w:pPr>
        <w:pStyle w:val="Normal"/>
        <w:ind w:firstLine="4320" w:end="0"/>
        <w:rPr/>
      </w:pPr>
      <w:r>
        <w:rPr/>
        <w:t>One Sansome Street, 12th Floor</w:t>
      </w:r>
    </w:p>
    <w:p>
      <w:pPr>
        <w:pStyle w:val="Normal"/>
        <w:ind w:firstLine="4320" w:end="0"/>
        <w:rPr/>
      </w:pPr>
      <w:r>
        <w:rPr/>
        <w:t>San Francisco, CA 94104</w:t>
      </w:r>
    </w:p>
    <w:p>
      <w:pPr>
        <w:pStyle w:val="Normal"/>
        <w:ind w:firstLine="4320" w:end="0"/>
        <w:rPr/>
      </w:pPr>
      <w:r>
        <w:rPr/>
        <w:t>Phone:  415-398-8080</w:t>
      </w:r>
    </w:p>
    <w:p>
      <w:pPr>
        <w:pStyle w:val="Normal"/>
        <w:ind w:firstLine="4320" w:end="0"/>
        <w:rPr/>
      </w:pPr>
      <w:r>
        <w:rPr/>
        <w:t>Fax:  415-398-5584</w:t>
      </w:r>
    </w:p>
    <w:p>
      <w:pPr>
        <w:pStyle w:val="Normal"/>
        <w:ind w:firstLine="4320" w:end="0"/>
        <w:rPr/>
      </w:pPr>
      <w:r>
        <w:rPr/>
        <w:t>E-mail:  ewo@jmbm.com</w:t>
      </w:r>
    </w:p>
    <w:p>
      <w:pPr>
        <w:pStyle w:val="Normal"/>
        <w:rPr/>
      </w:pPr>
      <w:r>
        <w:rPr/>
      </w:r>
    </w:p>
    <w:p>
      <w:pPr>
        <w:pStyle w:val="Normal"/>
        <w:rPr/>
      </w:pPr>
      <w:r>
        <w:rPr/>
        <w:t xml:space="preserve">Dated:  July 31, 2000       </w:t>
      </w:r>
    </w:p>
    <w:sectPr>
      <w:footnotePr>
        <w:numFmt w:val="decimal"/>
      </w:footnotePr>
      <w:type w:val="continuous"/>
      <w:pgSz w:w="12240" w:h="15840"/>
      <w:pgMar w:left="1440" w:right="1440" w:gutter="0" w:header="0" w:top="1440"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Al2/epnatgas/reply2</w:t>
    </w:r>
  </w:p>
  <w:p>
    <w:pPr>
      <w:pStyle w:val="Normal"/>
      <w:rPr/>
    </w:pPr>
    <w:r>
      <w:rPr/>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7</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7</w:t>
                    </w:r>
                    <w:r>
                      <w:rPr/>
                      <w:fldChar w:fldCharType="end"/>
                    </w:r>
                  </w:p>
                </w:txbxContent>
              </v:textbox>
              <w10:wrap type="topAndBottom"/>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t xml:space="preserve">  </w:t>
      </w:r>
      <w:r>
        <w:rPr/>
        <w:t>Ex. 1, "Comprehensive Gas OII Settlement Agreement For Southern California Gas Company and San Diego Gas &amp; Electric Company" filed April 17, 2000.</w:t>
      </w:r>
    </w:p>
  </w:footnote>
  <w:footnote w:id="3">
    <w:p>
      <w:pPr>
        <w:pStyle w:val="Normal"/>
        <w:spacing w:before="0" w:after="240"/>
        <w:ind w:firstLine="720" w:end="0"/>
        <w:rPr/>
      </w:pPr>
      <w:r>
        <w:rPr>
          <w:rStyle w:val="FootnoteCharacters"/>
        </w:rPr>
        <w:footnoteRef/>
      </w:r>
      <w:r>
        <w:rPr/>
        <w:t xml:space="preserve">  </w:t>
      </w:r>
      <w:r>
        <w:rPr/>
        <w:t xml:space="preserve">Ex. 1000, "Joint Motion for Approval of Interim Settlement Enhancing and Enabling Competitive Markets on the SoCalGas System" filed December 27, 1999.  </w:t>
      </w:r>
    </w:p>
  </w:footnote>
  <w:footnote w:id="4">
    <w:p>
      <w:pPr>
        <w:pStyle w:val="Normal"/>
        <w:spacing w:before="0" w:after="240"/>
        <w:ind w:firstLine="720" w:end="0"/>
        <w:rPr/>
      </w:pPr>
      <w:r>
        <w:rPr>
          <w:rStyle w:val="FootnoteCharacters"/>
        </w:rPr>
        <w:footnoteRef/>
      </w:r>
      <w:r>
        <w:rPr/>
        <w:t xml:space="preserve">  </w:t>
      </w:r>
      <w:r>
        <w:rPr/>
        <w:t>Ex. 100, "Post-Interim Settlement Agreement" filed April 3, 2000.</w:t>
      </w:r>
    </w:p>
  </w:footnote>
  <w:footnote w:id="5">
    <w:p>
      <w:pPr>
        <w:pStyle w:val="Normal"/>
        <w:spacing w:before="0" w:after="240"/>
        <w:ind w:firstLine="720" w:end="0"/>
        <w:rPr/>
      </w:pPr>
      <w:r>
        <w:rPr>
          <w:rStyle w:val="FootnoteCharacters"/>
        </w:rPr>
        <w:footnoteRef/>
      </w:r>
      <w:r>
        <w:rPr/>
        <w:t xml:space="preserve">  </w:t>
      </w:r>
      <w:r>
        <w:rPr/>
        <w:t xml:space="preserve">The allocation of receipt point capacity rights under the Comprehensive Settlement is described in Ex. 1, Appendix B and was summarized in additional detail in El Paso's Opening Brief at pages 5-7.     </w:t>
      </w:r>
    </w:p>
  </w:footnote>
  <w:footnote w:id="6">
    <w:p>
      <w:pPr>
        <w:pStyle w:val="Normal"/>
        <w:spacing w:before="0" w:after="240"/>
        <w:ind w:firstLine="720" w:end="0"/>
        <w:rPr/>
      </w:pPr>
      <w:r>
        <w:rPr>
          <w:rStyle w:val="FootnoteCharacters"/>
        </w:rPr>
        <w:footnoteRef/>
      </w:r>
      <w:r>
        <w:rPr/>
        <w:t xml:space="preserve">  </w:t>
      </w:r>
      <w:r>
        <w:rPr/>
        <w:t xml:space="preserve">Establishing Hector Road as a formal receipt point on the SoCalGas system was among the promising options in D.99-07-015 and has received the support of all active parties to this proceeding.   Hector Road would be established as a formal receipt point under both the Comprehensive Settlement and Interim Settlement which is incorporated into the Post-Interim Settlement.  El Paso supports this provision of both settlements.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ind w:firstLine="720" w:start="0" w:end="0"/>
      <w:outlineLvl w:val="0"/>
    </w:pPr>
    <w:rPr>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widowControl/>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uppressLineNumbers/>
      <w:ind w:hanging="340" w:start="340"/>
    </w:pPr>
    <w:rPr>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2000-07-31T17:11:00Z</dcterms:created>
  <dc:creator>Anne Louis</dc:creator>
  <dc:description/>
  <dc:language>en-CA</dc:language>
  <cp:lastModifiedBy>Anne Louis</cp:lastModifiedBy>
  <cp:lastPrinted>2000-07-31T14:16:00Z</cp:lastPrinted>
  <dcterms:modified xsi:type="dcterms:W3CDTF">2000-07-31T18:49:00Z</dcterms:modified>
  <cp:revision>5</cp:revision>
  <dc:subject/>
  <dc:title>July 31, 2000 Draft</dc:title>
</cp:coreProperties>
</file>