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8.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BEFORE THE</w:t>
      </w:r>
    </w:p>
    <w:p>
      <w:pPr>
        <w:pStyle w:val="Normal"/>
        <w:jc w:val="center"/>
        <w:rPr>
          <w:b/>
        </w:rPr>
      </w:pPr>
      <w:r>
        <w:rPr>
          <w:b/>
        </w:rPr>
        <w:t>PUBLIC UTILITIES COMMISSION</w:t>
      </w:r>
    </w:p>
    <w:p>
      <w:pPr>
        <w:pStyle w:val="Normal"/>
        <w:jc w:val="center"/>
        <w:rPr>
          <w:b/>
        </w:rPr>
      </w:pPr>
      <w:r>
        <w:rPr>
          <w:b/>
        </w:rPr>
        <w:t>OF THE</w:t>
      </w:r>
    </w:p>
    <w:p>
      <w:pPr>
        <w:pStyle w:val="Normal"/>
        <w:jc w:val="center"/>
        <w:rPr>
          <w:b/>
        </w:rPr>
      </w:pPr>
      <w:r>
        <w:rPr>
          <w:b/>
        </w:rPr>
        <w:t>STATE OF CALIFORNIA</w:t>
      </w:r>
    </w:p>
    <w:p>
      <w:pPr>
        <w:pStyle w:val="Normal"/>
        <w:rPr/>
      </w:pPr>
      <w:r>
        <w:rPr/>
      </w:r>
    </w:p>
    <w:p>
      <w:pPr>
        <w:pStyle w:val="Normal"/>
        <w:rPr/>
      </w:pPr>
      <w:r>
        <w:rPr/>
      </w:r>
    </w:p>
    <w:tbl>
      <w:tblPr>
        <w:tblW w:w="9108" w:type="dxa"/>
        <w:jc w:val="start"/>
        <w:tblInd w:w="0" w:type="dxa"/>
        <w:tblLayout w:type="fixed"/>
        <w:tblCellMar>
          <w:top w:w="0" w:type="dxa"/>
          <w:start w:w="108" w:type="dxa"/>
          <w:bottom w:w="0" w:type="dxa"/>
          <w:end w:w="108" w:type="dxa"/>
        </w:tblCellMar>
      </w:tblPr>
      <w:tblGrid>
        <w:gridCol w:w="4968"/>
        <w:gridCol w:w="4140"/>
      </w:tblGrid>
      <w:tr>
        <w:trPr>
          <w:trHeight w:val="1099" w:hRule="atLeast"/>
        </w:trPr>
        <w:tc>
          <w:tcPr>
            <w:tcW w:w="4968" w:type="dxa"/>
            <w:tcBorders>
              <w:bottom w:val="single" w:sz="6" w:space="0" w:color="000000"/>
              <w:end w:val="single" w:sz="6" w:space="0" w:color="000000"/>
            </w:tcBorders>
          </w:tcPr>
          <w:p>
            <w:pPr>
              <w:pStyle w:val="Normal"/>
              <w:pBdr/>
              <w:rPr/>
            </w:pPr>
            <w:r>
              <w:rPr/>
              <w:t>Order Instituting Rulemaking into the Operation of Interruptible Load Programs Offered By Pacific Gas &amp; Electric, San Diego Gas &amp; Electric, and Southern California Edison and the Effect of These Programs on Energy Prices, Other Demand Responsiveness Programs, and the Reliability of the Electric System</w:t>
            </w:r>
          </w:p>
        </w:tc>
        <w:tc>
          <w:tcPr>
            <w:tcW w:w="4140" w:type="dxa"/>
            <w:tcBorders>
              <w:start w:val="single" w:sz="6" w:space="0" w:color="000000"/>
            </w:tcBorders>
          </w:tcPr>
          <w:p>
            <w:pPr>
              <w:pStyle w:val="Normal"/>
              <w:pBdr/>
              <w:rPr/>
            </w:pPr>
            <w:r>
              <w:rPr/>
              <w:br/>
              <w:br/>
              <w:t xml:space="preserve">          R.00-10-002</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b/>
          <w:bCs/>
        </w:rPr>
      </w:pPr>
      <w:r>
        <w:rPr>
          <w:b/>
          <w:bCs/>
        </w:rPr>
        <w:t xml:space="preserve">APPLICATION OF THE </w:t>
      </w:r>
    </w:p>
    <w:p>
      <w:pPr>
        <w:pStyle w:val="Normal"/>
        <w:jc w:val="center"/>
        <w:rPr>
          <w:b/>
          <w:bCs/>
        </w:rPr>
      </w:pPr>
      <w:r>
        <w:rPr>
          <w:b/>
          <w:bCs/>
        </w:rPr>
        <w:t xml:space="preserve">CALIFORNIA MANUFACTURERS &amp; TECHNOLOGY ASSOCIATION </w:t>
      </w:r>
    </w:p>
    <w:p>
      <w:pPr>
        <w:pStyle w:val="Normal"/>
        <w:jc w:val="center"/>
        <w:rPr>
          <w:b/>
          <w:bCs/>
        </w:rPr>
      </w:pPr>
      <w:r>
        <w:rPr>
          <w:b/>
          <w:bCs/>
        </w:rPr>
        <w:t>FOR REHEARING OF DECISION 00-10-066</w:t>
      </w:r>
    </w:p>
    <w:p>
      <w:pPr>
        <w:pStyle w:val="Normal"/>
        <w:rPr>
          <w:b/>
          <w:bCs/>
        </w:rPr>
      </w:pPr>
      <w:r>
        <w:rPr>
          <w:b/>
          <w:bCs/>
        </w:rPr>
      </w:r>
    </w:p>
    <w:p>
      <w:pPr>
        <w:pStyle w:val="Normal"/>
        <w:jc w:val="center"/>
        <w:rPr/>
      </w:pPr>
      <w:r>
        <w:rPr/>
      </w:r>
    </w:p>
    <w:p>
      <w:pPr>
        <w:pStyle w:val="Normal"/>
        <w:ind w:firstLine="720" w:start="4320" w:end="0"/>
        <w:jc w:val="both"/>
        <w:rPr/>
      </w:pPr>
      <w:r>
        <w:rPr/>
      </w:r>
    </w:p>
    <w:p>
      <w:pPr>
        <w:pStyle w:val="Normal"/>
        <w:ind w:firstLine="720" w:start="4320" w:end="0"/>
        <w:jc w:val="both"/>
        <w:rPr/>
      </w:pPr>
      <w:r>
        <w:rPr/>
      </w:r>
    </w:p>
    <w:p>
      <w:pPr>
        <w:pStyle w:val="Normal"/>
        <w:ind w:firstLine="720" w:start="4320" w:end="0"/>
        <w:jc w:val="both"/>
        <w:rPr/>
      </w:pPr>
      <w:r>
        <w:rPr/>
      </w:r>
    </w:p>
    <w:p>
      <w:pPr>
        <w:pStyle w:val="Normal"/>
        <w:ind w:firstLine="720" w:start="4320" w:end="0"/>
        <w:jc w:val="both"/>
        <w:rPr/>
      </w:pPr>
      <w:r>
        <w:rPr/>
      </w:r>
    </w:p>
    <w:p>
      <w:pPr>
        <w:pStyle w:val="Normal"/>
        <w:ind w:firstLine="720" w:start="4320" w:end="0"/>
        <w:jc w:val="both"/>
        <w:rPr/>
      </w:pPr>
      <w:r>
        <w:rPr/>
      </w:r>
    </w:p>
    <w:p>
      <w:pPr>
        <w:pStyle w:val="Normal"/>
        <w:ind w:firstLine="720" w:start="4320" w:end="0"/>
        <w:jc w:val="both"/>
        <w:rPr/>
      </w:pPr>
      <w:r>
        <w:rPr/>
      </w:r>
    </w:p>
    <w:p>
      <w:pPr>
        <w:pStyle w:val="Normal"/>
        <w:ind w:firstLine="720" w:start="4320" w:end="0"/>
        <w:jc w:val="both"/>
        <w:rPr/>
      </w:pPr>
      <w:r>
        <w:rPr/>
      </w:r>
    </w:p>
    <w:p>
      <w:pPr>
        <w:pStyle w:val="Normal"/>
        <w:ind w:firstLine="720" w:start="4320" w:end="0"/>
        <w:jc w:val="both"/>
        <w:rPr/>
      </w:pPr>
      <w:r>
        <w:rPr/>
      </w:r>
    </w:p>
    <w:p>
      <w:pPr>
        <w:pStyle w:val="Normal"/>
        <w:jc w:val="both"/>
        <w:rPr/>
      </w:pPr>
      <w:r>
        <w:rPr/>
      </w:r>
    </w:p>
    <w:p>
      <w:pPr>
        <w:pStyle w:val="Normal"/>
        <w:ind w:firstLine="720" w:start="4320" w:end="0"/>
        <w:jc w:val="both"/>
        <w:rPr/>
      </w:pPr>
      <w:r>
        <w:rPr/>
        <w:t>Keith R. McCrea</w:t>
      </w:r>
    </w:p>
    <w:p>
      <w:pPr>
        <w:pStyle w:val="Normal"/>
        <w:ind w:firstLine="720" w:start="4320" w:end="0"/>
        <w:jc w:val="both"/>
        <w:rPr/>
      </w:pPr>
      <w:r>
        <w:rPr/>
        <w:t>Daniel J. Oginsky</w:t>
      </w:r>
    </w:p>
    <w:p>
      <w:pPr>
        <w:pStyle w:val="Normal"/>
        <w:jc w:val="both"/>
        <w:rPr/>
      </w:pPr>
      <w:r>
        <w:rPr/>
        <w:tab/>
        <w:tab/>
        <w:tab/>
        <w:tab/>
        <w:tab/>
        <w:tab/>
        <w:tab/>
      </w:r>
      <w:r>
        <w:rPr>
          <w:smallCaps/>
        </w:rPr>
        <w:t>Sutherland Asbill &amp; Brennan LLP</w:t>
      </w:r>
    </w:p>
    <w:p>
      <w:pPr>
        <w:pStyle w:val="Normal"/>
        <w:jc w:val="both"/>
        <w:rPr/>
      </w:pPr>
      <w:r>
        <w:rPr/>
        <w:tab/>
        <w:tab/>
        <w:tab/>
        <w:tab/>
        <w:tab/>
        <w:tab/>
        <w:tab/>
        <w:t>1275 Pennsylvania Avenue, N.W.</w:t>
      </w:r>
    </w:p>
    <w:p>
      <w:pPr>
        <w:pStyle w:val="Normal"/>
        <w:jc w:val="both"/>
        <w:rPr/>
      </w:pPr>
      <w:r>
        <w:rPr/>
        <w:tab/>
        <w:tab/>
        <w:tab/>
        <w:tab/>
        <w:tab/>
        <w:tab/>
        <w:tab/>
        <w:t>Washington, D.C.  20004</w:t>
      </w:r>
    </w:p>
    <w:p>
      <w:pPr>
        <w:pStyle w:val="Normal"/>
        <w:jc w:val="both"/>
        <w:rPr/>
      </w:pPr>
      <w:r>
        <w:rPr/>
        <w:tab/>
        <w:tab/>
        <w:tab/>
        <w:tab/>
        <w:tab/>
        <w:tab/>
        <w:tab/>
        <w:t>(202) 383-0100</w:t>
      </w:r>
    </w:p>
    <w:p>
      <w:pPr>
        <w:pStyle w:val="Normal"/>
        <w:jc w:val="both"/>
        <w:rPr/>
      </w:pPr>
      <w:r>
        <w:rPr/>
      </w:r>
    </w:p>
    <w:p>
      <w:pPr>
        <w:pStyle w:val="Normal"/>
        <w:jc w:val="both"/>
        <w:rPr/>
      </w:pPr>
      <w:r>
        <w:rPr/>
        <w:tab/>
        <w:tab/>
        <w:tab/>
        <w:tab/>
        <w:tab/>
        <w:tab/>
        <w:tab/>
      </w:r>
      <w:r>
        <w:rPr>
          <w:i/>
        </w:rPr>
        <w:t>Attorneys for the</w:t>
      </w:r>
    </w:p>
    <w:p>
      <w:pPr>
        <w:pStyle w:val="Normal"/>
        <w:jc w:val="both"/>
        <w:rPr>
          <w:i/>
          <w:i/>
        </w:rPr>
      </w:pPr>
      <w:r>
        <w:rPr>
          <w:i/>
        </w:rPr>
        <w:tab/>
        <w:tab/>
        <w:tab/>
        <w:tab/>
        <w:tab/>
        <w:tab/>
        <w:tab/>
        <w:t xml:space="preserve">California Manufacturers &amp; Technology </w:t>
        <w:tab/>
        <w:tab/>
        <w:tab/>
        <w:tab/>
        <w:tab/>
        <w:tab/>
        <w:tab/>
        <w:tab/>
        <w:t>Association</w:t>
      </w:r>
    </w:p>
    <w:p>
      <w:pPr>
        <w:pStyle w:val="Normal"/>
        <w:rPr>
          <w:i/>
          <w:i/>
        </w:rPr>
      </w:pPr>
      <w:r>
        <w:rPr>
          <w:i/>
        </w:rPr>
      </w:r>
    </w:p>
    <w:p>
      <w:pPr>
        <w:pStyle w:val="Normal"/>
        <w:rPr/>
      </w:pPr>
      <w:r>
        <w:rPr/>
      </w:r>
    </w:p>
    <w:p>
      <w:pPr>
        <w:pStyle w:val="Normal"/>
        <w:rPr/>
      </w:pPr>
      <w:r>
        <w:rPr/>
      </w:r>
    </w:p>
    <w:p>
      <w:pPr>
        <w:sectPr>
          <w:footerReference w:type="default" r:id="rId2"/>
          <w:footerReference w:type="first" r:id="rId3"/>
          <w:type w:val="nextPage"/>
          <w:pgSz w:w="12240" w:h="15840"/>
          <w:pgMar w:left="1440" w:right="1440" w:gutter="0" w:header="0" w:top="1440" w:footer="720" w:bottom="1440"/>
          <w:pgNumType w:start="1" w:fmt="decimal"/>
          <w:formProt w:val="false"/>
          <w:titlePg/>
          <w:textDirection w:val="lrTb"/>
          <w:docGrid w:type="default" w:linePitch="360" w:charSpace="0"/>
        </w:sectPr>
        <w:pStyle w:val="Normal"/>
        <w:rPr/>
      </w:pPr>
      <w:r>
        <w:rPr/>
        <w:t>November 17, 2000</w:t>
      </w:r>
    </w:p>
    <w:p>
      <w:pPr>
        <w:pStyle w:val="Normal"/>
        <w:jc w:val="center"/>
        <w:rPr>
          <w:b/>
          <w:bCs/>
        </w:rPr>
      </w:pPr>
      <w:r>
        <w:rPr>
          <w:b/>
          <w:bCs/>
        </w:rPr>
        <w:t>BEFORE THE</w:t>
      </w:r>
    </w:p>
    <w:p>
      <w:pPr>
        <w:pStyle w:val="Normal"/>
        <w:jc w:val="center"/>
        <w:rPr>
          <w:b/>
        </w:rPr>
      </w:pPr>
      <w:r>
        <w:rPr>
          <w:b/>
        </w:rPr>
        <w:t>PUBLIC UTILITIES COMMISSION</w:t>
      </w:r>
    </w:p>
    <w:p>
      <w:pPr>
        <w:pStyle w:val="Normal"/>
        <w:jc w:val="center"/>
        <w:rPr>
          <w:b/>
        </w:rPr>
      </w:pPr>
      <w:r>
        <w:rPr>
          <w:b/>
        </w:rPr>
        <w:t>OF THE</w:t>
      </w:r>
    </w:p>
    <w:p>
      <w:pPr>
        <w:pStyle w:val="Normal"/>
        <w:jc w:val="center"/>
        <w:rPr>
          <w:b/>
        </w:rPr>
      </w:pPr>
      <w:r>
        <w:rPr>
          <w:b/>
        </w:rPr>
        <w:t>STATE OF CALIFORNIA</w:t>
      </w:r>
    </w:p>
    <w:p>
      <w:pPr>
        <w:pStyle w:val="Normal"/>
        <w:rPr/>
      </w:pPr>
      <w:r>
        <w:rPr/>
      </w:r>
    </w:p>
    <w:p>
      <w:pPr>
        <w:pStyle w:val="Normal"/>
        <w:rPr/>
      </w:pPr>
      <w:r>
        <w:rPr/>
      </w:r>
    </w:p>
    <w:tbl>
      <w:tblPr>
        <w:tblW w:w="9108" w:type="dxa"/>
        <w:jc w:val="start"/>
        <w:tblInd w:w="0" w:type="dxa"/>
        <w:tblLayout w:type="fixed"/>
        <w:tblCellMar>
          <w:top w:w="0" w:type="dxa"/>
          <w:start w:w="108" w:type="dxa"/>
          <w:bottom w:w="0" w:type="dxa"/>
          <w:end w:w="108" w:type="dxa"/>
        </w:tblCellMar>
      </w:tblPr>
      <w:tblGrid>
        <w:gridCol w:w="4968"/>
        <w:gridCol w:w="4140"/>
      </w:tblGrid>
      <w:tr>
        <w:trPr>
          <w:trHeight w:val="1099" w:hRule="atLeast"/>
        </w:trPr>
        <w:tc>
          <w:tcPr>
            <w:tcW w:w="4968" w:type="dxa"/>
            <w:tcBorders>
              <w:bottom w:val="single" w:sz="6" w:space="0" w:color="000000"/>
              <w:end w:val="single" w:sz="6" w:space="0" w:color="000000"/>
            </w:tcBorders>
          </w:tcPr>
          <w:p>
            <w:pPr>
              <w:pStyle w:val="Normal"/>
              <w:pBdr/>
              <w:rPr/>
            </w:pPr>
            <w:r>
              <w:rPr/>
              <w:t>Order Instituting Rulemaking into the Operation of Interruptible Load Programs Offered By Pacific Gas &amp; Electric, San Diego Gas &amp; Electric, and Southern California Edison and the Effect of These Programs on Energy Prices, Other Demand Responsiveness Programs, and the Reliability of the Electric System</w:t>
            </w:r>
          </w:p>
        </w:tc>
        <w:tc>
          <w:tcPr>
            <w:tcW w:w="4140" w:type="dxa"/>
            <w:tcBorders>
              <w:start w:val="single" w:sz="6" w:space="0" w:color="000000"/>
            </w:tcBorders>
          </w:tcPr>
          <w:p>
            <w:pPr>
              <w:pStyle w:val="Normal"/>
              <w:pBdr/>
              <w:rPr/>
            </w:pPr>
            <w:r>
              <w:rPr/>
              <w:br/>
              <w:br/>
              <w:t xml:space="preserve">          R.00-10-002</w:t>
            </w:r>
          </w:p>
        </w:tc>
      </w:tr>
    </w:tbl>
    <w:p>
      <w:pPr>
        <w:pStyle w:val="Normal"/>
        <w:rPr/>
      </w:pPr>
      <w:r>
        <w:rPr/>
      </w:r>
    </w:p>
    <w:p>
      <w:pPr>
        <w:pStyle w:val="Normal"/>
        <w:rPr/>
      </w:pPr>
      <w:r>
        <w:rPr/>
      </w:r>
    </w:p>
    <w:p>
      <w:pPr>
        <w:pStyle w:val="Normal"/>
        <w:jc w:val="center"/>
        <w:rPr>
          <w:b/>
          <w:bCs/>
        </w:rPr>
      </w:pPr>
      <w:r>
        <w:rPr>
          <w:b/>
          <w:bCs/>
        </w:rPr>
      </w:r>
    </w:p>
    <w:p>
      <w:pPr>
        <w:pStyle w:val="Normal"/>
        <w:jc w:val="center"/>
        <w:rPr>
          <w:b/>
          <w:bCs/>
        </w:rPr>
      </w:pPr>
      <w:r>
        <w:rPr>
          <w:b/>
          <w:bCs/>
        </w:rPr>
        <w:t xml:space="preserve">APPLICATION OF THE </w:t>
      </w:r>
    </w:p>
    <w:p>
      <w:pPr>
        <w:pStyle w:val="Normal"/>
        <w:jc w:val="center"/>
        <w:rPr>
          <w:b/>
          <w:bCs/>
        </w:rPr>
      </w:pPr>
      <w:r>
        <w:rPr>
          <w:b/>
          <w:bCs/>
        </w:rPr>
        <w:t xml:space="preserve">CALIFORNIA MANUFACTURERS &amp; TECHNOLOGY ASSOCIATION </w:t>
      </w:r>
    </w:p>
    <w:p>
      <w:pPr>
        <w:pStyle w:val="Normal"/>
        <w:jc w:val="center"/>
        <w:rPr>
          <w:b/>
          <w:bCs/>
        </w:rPr>
      </w:pPr>
      <w:r>
        <w:rPr>
          <w:b/>
          <w:bCs/>
        </w:rPr>
        <w:t>FOR REHEARING OF DECISION 00-10-066</w:t>
      </w:r>
    </w:p>
    <w:p>
      <w:pPr>
        <w:pStyle w:val="Normal"/>
        <w:rPr>
          <w:b/>
          <w:bCs/>
        </w:rPr>
      </w:pPr>
      <w:r>
        <w:rPr>
          <w:b/>
          <w:bCs/>
        </w:rPr>
      </w:r>
    </w:p>
    <w:p>
      <w:pPr>
        <w:pStyle w:val="BodyText"/>
        <w:spacing w:before="0" w:after="0"/>
        <w:rPr/>
      </w:pPr>
      <w:r>
        <w:rPr/>
        <w:t>In accordance with Cal. Pub. Util. Code § 1731, and Commission Rule 85, the California Manufacturers &amp; Technology Association (“CMTA”) hereby submits its application for rehearing of Decision 00-10-066 (the “Decision”), which was mailed on October 20, 2000.  CMTA respectfully submits that because the Decision commits the following legal and factual errors:</w:t>
      </w:r>
    </w:p>
    <w:p>
      <w:pPr>
        <w:pStyle w:val="BodyText"/>
        <w:spacing w:lineRule="auto" w:line="240"/>
        <w:ind w:hanging="720" w:start="1440" w:end="0"/>
        <w:rPr/>
      </w:pPr>
      <w:r>
        <w:rPr/>
        <w:t>1.</w:t>
        <w:tab/>
        <w:t>The Commission based the Decision on factual assumptions that were wrong and unsupported by evidence.</w:t>
      </w:r>
    </w:p>
    <w:p>
      <w:pPr>
        <w:pStyle w:val="BodyText"/>
        <w:spacing w:lineRule="auto" w:line="240"/>
        <w:ind w:hanging="720" w:start="1440" w:end="0"/>
        <w:rPr/>
      </w:pPr>
      <w:r>
        <w:rPr/>
        <w:t>2.</w:t>
        <w:tab/>
        <w:t>By issuing the Decision, the Commission exceeded its appropriate statutory authority.</w:t>
      </w:r>
    </w:p>
    <w:p>
      <w:pPr>
        <w:pStyle w:val="BodyText"/>
        <w:rPr/>
      </w:pPr>
      <w:r>
        <w:rPr/>
        <w:t>The Commission should grant rehearing immediately and restore the opt-out window to avoid frustrating the purpose of its rulemaking.</w:t>
      </w:r>
    </w:p>
    <w:p>
      <w:pPr>
        <w:pStyle w:val="Header"/>
        <w:numPr>
          <w:ilvl w:val="0"/>
          <w:numId w:val="12"/>
        </w:numPr>
        <w:ind w:hanging="0" w:start="0"/>
        <w:rPr/>
      </w:pPr>
      <w:r>
        <w:rPr/>
        <w:t>BACKGROUND</w:t>
      </w:r>
    </w:p>
    <w:p>
      <w:pPr>
        <w:pStyle w:val="BodyText"/>
        <w:ind w:hanging="0" w:end="0"/>
        <w:rPr/>
      </w:pPr>
      <w:r>
        <w:rPr/>
        <w:tab/>
        <w:t>On October 10, 2000, the Commission issued an “Order Instituting Rulemaking into the Operation of Interruptible Load Programs” (the “OIR”), in which it proposed to temporarily suspend the interruptible program’s opt-out window scheduled for November of each year.  CMTA and numerous other parties submitted comments opposing the proposed suspension of the opt-out provisions of the existing interruptible rate schedules.  In the Decision, the Commission nevertheless temporarily suspended the opt-out window until March 31, 2001, but only for SCE customers that signed-up for the interruptible program before April 1, 1998 (when the annual opt-out provision was instituted).</w:t>
      </w:r>
      <w:r>
        <w:rPr>
          <w:rStyle w:val="FootnoteCharacters"/>
          <w:rStyle w:val="FootnoteReference"/>
        </w:rPr>
        <w:footnoteReference w:id="2"/>
      </w:r>
      <w:r>
        <w:rPr/>
        <w:t xml:space="preserve">  In suspending the opt-out window through March 31, 2001, the Commission noted that it “is not precluding the establishment of an opt-out period at some future date prior to the start of next summer.”</w:t>
      </w:r>
      <w:r>
        <w:rPr>
          <w:rStyle w:val="FootnoteCharacters"/>
        </w:rPr>
        <w:t xml:space="preserve"> </w:t>
      </w:r>
      <w:r>
        <w:rPr>
          <w:rStyle w:val="FootnoteCharacters"/>
          <w:rStyle w:val="FootnoteReference"/>
        </w:rPr>
        <w:footnoteReference w:id="3"/>
      </w:r>
      <w:r>
        <w:rPr/>
        <w:t xml:space="preserve">  The Commission further stated its “goal . . . to have programs in place prior to the Summer of 2001 that will attract and retain customers willing to be interrupted and allow those which are not so willing to opt-out, although perhaps subject to certain conditions.”</w:t>
      </w:r>
      <w:r>
        <w:rPr>
          <w:rStyle w:val="FootnoteCharacters"/>
          <w:rStyle w:val="FootnoteReference"/>
        </w:rPr>
        <w:footnoteReference w:id="4"/>
      </w:r>
    </w:p>
    <w:p>
      <w:pPr>
        <w:pStyle w:val="Header"/>
        <w:numPr>
          <w:ilvl w:val="0"/>
          <w:numId w:val="12"/>
        </w:numPr>
        <w:ind w:hanging="0" w:start="0"/>
        <w:rPr/>
      </w:pPr>
      <w:r>
        <w:rPr/>
        <w:t>ARGUMENT</w:t>
      </w:r>
    </w:p>
    <w:p>
      <w:pPr>
        <w:pStyle w:val="Heading2"/>
        <w:numPr>
          <w:ilvl w:val="0"/>
          <w:numId w:val="13"/>
        </w:numPr>
        <w:ind w:hanging="0" w:start="0"/>
        <w:rPr/>
      </w:pPr>
      <w:r>
        <w:rPr/>
        <w:t>The Commission’s Decision Is Based on Inaccurate and Unsupported Factual Assumptions.</w:t>
      </w:r>
    </w:p>
    <w:p>
      <w:pPr>
        <w:pStyle w:val="BodyText"/>
        <w:rPr/>
      </w:pPr>
      <w:r>
        <w:rPr/>
        <w:t>The Decision turns on the Commission’s inaccurate and unsupported assumption that suspending the opt-out window imposes no “permanent” harm on interruptible customers.  The principal basis for the decision to temporarily suspend the window is the statement that:  “[n]o party has identified any permanent harm that would result from a temporary suspension of these tariff provisions.”</w:t>
      </w:r>
      <w:r>
        <w:rPr>
          <w:rStyle w:val="FootnoteCharacters"/>
          <w:rStyle w:val="FootnoteReference"/>
        </w:rPr>
        <w:footnoteReference w:id="5"/>
      </w:r>
      <w:r>
        <w:rPr/>
        <w:t xml:space="preserve">  The Decision also quotes the statements contained in R.00-10-002 that customers will only be minimally inconvenienced and that “curtailments during the winter season are unlikely.”</w:t>
      </w:r>
      <w:r>
        <w:rPr>
          <w:rStyle w:val="FootnoteCharacters"/>
          <w:rStyle w:val="FootnoteReference"/>
        </w:rPr>
        <w:footnoteReference w:id="6"/>
      </w:r>
      <w:r>
        <w:rPr/>
        <w:t xml:space="preserve">  Given that the Commission allowed only seven (7) calendar days for parties to submit comments on its proposal, any failure to demonstrate “permanent harm” – a criteria that was never identified in the OIR – can hardly constitute a basis to justify the temporary suspension.  Moreover, the “permanent harm” standard set forth in the Decision was invented after the fact.  If the Commission was going to proceed with the temporary suspension based on whether “permanent harm” would result, then it should have clearly identified this issue and asked parties to submit comments on it.  </w:t>
      </w:r>
    </w:p>
    <w:p>
      <w:pPr>
        <w:pStyle w:val="BodyText"/>
        <w:rPr/>
      </w:pPr>
      <w:r>
        <w:rPr/>
        <w:t>Most importantly, customers who otherwise could have increased their FSLs or opted-out of the program in November currently are being permanently harmed.  The Commission’s assessment that wintertime curtailments are unlikely has been proven wrong since statewide Stage 2 emergencies were declared on November 13, 14, and 15.  Clearly, contrary to the Decision’s finding, the temporary suspension of the opt-out window is causing harm to customers who otherwise could have opted-out or increased their Firm Service Levels (FSLs).  Because it is now clear that a high possibility of curtailments will exist throughout the winter, it is imperative that the Commission reinstate the opt-out window as soon as possible.  The Commission’s determinations that wintertime curtailments are unlikely and that the temporary suspension presents no “permanent” harm to customers are clearly erroneous.</w:t>
      </w:r>
    </w:p>
    <w:p>
      <w:pPr>
        <w:pStyle w:val="BodyText"/>
        <w:rPr/>
      </w:pPr>
      <w:r>
        <w:rPr/>
        <w:t>Additionally, in its comments on the rulemaking, CMTA pointed out that “even a temporary suspension of the opt-out window could completely disrupt customers’ energy plans for 2001 which are now in their final stages.”</w:t>
      </w:r>
      <w:r>
        <w:rPr>
          <w:rStyle w:val="FootnoteCharacters"/>
          <w:rStyle w:val="FootnoteReference"/>
        </w:rPr>
        <w:footnoteReference w:id="7"/>
      </w:r>
      <w:r>
        <w:rPr/>
        <w:t xml:space="preserve">  The disruption of such planning, especially at this late date, will complicate significantly customers’ business operations, will increase their costs of doing business, and thus will cause permanent harm.  The Decision simply ignores comments of other parties demonstrating harm to customers stemming from the temporary suspension.</w:t>
      </w:r>
      <w:r>
        <w:rPr>
          <w:rStyle w:val="FootnoteCharacters"/>
          <w:rStyle w:val="FootnoteReference"/>
        </w:rPr>
        <w:footnoteReference w:id="8"/>
      </w:r>
      <w:r>
        <w:rPr/>
        <w:t xml:space="preserve">  Moreover, if customers had known that they would not be able to freely change their FSLs or opt-out of the program entirely in November, they could have explored other arrangements to mitigate the impact of the interruptible program on their operations for 2001.  Possible other arrangements would include installation of additional back-up generation, shifting production to other facilities with firm contracts or to other locations outside the State, and changes in production cycles.  Because the Commission’s decision to temporarily suspend the opt-out window comes so late and leaves the issue in limbo until March 31, 2001, customers have no meaningful ability to pursue these types of possible arrangements since they require substantially longer lead time than has been afforded by the Commission’s abrupt decision to temporarily suspend the opt-out window.    </w:t>
      </w:r>
    </w:p>
    <w:p>
      <w:pPr>
        <w:pStyle w:val="BodyText"/>
        <w:rPr/>
      </w:pPr>
      <w:r>
        <w:rPr/>
        <w:t>Furthermore, the Commission’s determination is unsupported by any affirmative evidence on the part of the Commission.  In response to customers’ concerns over the harm that will result from the opt-out window suspension, the Commission merely provided a cursory conclusion, stating that suspending the opt-out window “should minimally inconvenience existing interruptible customers” and that “curtailments during the winter</w:t>
      </w:r>
      <w:r>
        <w:rPr>
          <w:i/>
          <w:iCs/>
        </w:rPr>
        <w:t xml:space="preserve"> </w:t>
      </w:r>
      <w:r>
        <w:rPr/>
        <w:t>season are unlikely.”</w:t>
      </w:r>
      <w:r>
        <w:rPr>
          <w:rStyle w:val="FootnoteCharacters"/>
          <w:rStyle w:val="FootnoteReference"/>
        </w:rPr>
        <w:footnoteReference w:id="9"/>
      </w:r>
      <w:r>
        <w:rPr/>
        <w:t xml:space="preserve">  The Commission pointed to no evidence or facts to support that statement.  With no evidence to support its material findings, the Decision is clearly arbitrary and capricious.</w:t>
      </w:r>
      <w:r>
        <w:rPr>
          <w:rStyle w:val="FootnoteCharacters"/>
          <w:rStyle w:val="FootnoteReference"/>
        </w:rPr>
        <w:footnoteReference w:id="10"/>
      </w:r>
      <w:r>
        <w:rPr/>
        <w:t xml:space="preserve">  </w:t>
        <w:tab/>
      </w:r>
    </w:p>
    <w:p>
      <w:pPr>
        <w:pStyle w:val="BodyText"/>
        <w:rPr>
          <w:b/>
          <w:bCs/>
        </w:rPr>
      </w:pPr>
      <w:r>
        <w:rPr/>
        <w:t>The Commission suggested that any potential for harm to customers is mitigated because the suspension is temporary and customers will be able to opt-out of the interruptible program before summer 2001.</w:t>
      </w:r>
      <w:r>
        <w:rPr>
          <w:rStyle w:val="FootnoteCharacters"/>
          <w:rStyle w:val="FootnoteReference"/>
        </w:rPr>
        <w:footnoteReference w:id="11"/>
      </w:r>
      <w:r>
        <w:rPr/>
        <w:t xml:space="preserve">  While the Commission relies heavily on such suggestions to refute concerns about harm to customers, it makes no commitments.  Rather than ensuring that customers will have an opportunity to increase their FSLs or to leave the interruptible program next spring, it merely states that it “is not precluding the establishment of an opt-out window at some future date prior to the start of next summer.”</w:t>
      </w:r>
      <w:r>
        <w:rPr>
          <w:rStyle w:val="FootnoteCharacters"/>
          <w:rStyle w:val="FootnoteReference"/>
        </w:rPr>
        <w:footnoteReference w:id="12"/>
      </w:r>
      <w:r>
        <w:rPr/>
        <w:t xml:space="preserve">  Additionally, the Commission stated its “goal to have programs in place prior to the Summer of 2001” that may allow customers to opt-out of the interruptible program “although perhaps subject to certain conditions.” </w:t>
      </w:r>
      <w:r>
        <w:rPr>
          <w:rStyle w:val="FootnoteCharacters"/>
          <w:rStyle w:val="FootnoteReference"/>
        </w:rPr>
        <w:footnoteReference w:id="13"/>
      </w:r>
      <w:r>
        <w:rPr/>
        <w:t xml:space="preserve">  The Commission’s discussion of what it has not precluded and what are its goals provides no protection against harm to customers and, therefore, provides no support for the Decision.</w:t>
      </w:r>
    </w:p>
    <w:p>
      <w:pPr>
        <w:pStyle w:val="BodyText"/>
        <w:rPr/>
      </w:pPr>
      <w:r>
        <w:rPr/>
        <w:t>Finally, while concluding that suspending many customers’ opt-out windows is fair, the Commission nevertheless found that “customers who first signed-up for the interruptible program after April 1, 1998 (when the annual opt-out provision was instituted) should be allowed to exercise their opt-out provision.”</w:t>
      </w:r>
      <w:r>
        <w:rPr>
          <w:rStyle w:val="FootnoteCharacters"/>
          <w:rStyle w:val="FootnoteReference"/>
        </w:rPr>
        <w:footnoteReference w:id="14"/>
      </w:r>
      <w:r>
        <w:rPr/>
        <w:t xml:space="preserve">  The Commission apparently believes that withdrawing the opt-out window, days before it could be utilized, is unfair only to customers that </w:t>
      </w:r>
      <w:r>
        <w:br w:type="page"/>
      </w:r>
    </w:p>
    <w:p>
      <w:pPr>
        <w:pStyle w:val="BodyText"/>
        <w:ind w:hanging="0" w:end="0"/>
        <w:rPr/>
      </w:pPr>
      <w:r>
        <w:rPr/>
        <w:t>entered the program after the opt-out window was adopted.    In its comments, however, CMTA noted that through the advice letter process, all interruptible customers were provided with an annual opportunity to opt-out of the interruptible program, “[i]n exchange for accepting the uncertainty and new operating criteria associated with an ISO-administered statewide curtailment program . . . .”</w:t>
      </w:r>
      <w:r>
        <w:rPr>
          <w:rStyle w:val="FootnoteCharacters"/>
          <w:rStyle w:val="FootnoteReference"/>
        </w:rPr>
        <w:footnoteReference w:id="15"/>
      </w:r>
      <w:r>
        <w:rPr/>
        <w:t xml:space="preserve">  Suspending the opt-out window, therefore, materially changes the expectations under which all customers have participated in the interruptible program since 1998.   By recognizing the unfairness of the suspension only to PG&amp;E customers and customers who more recently signed-up for the interruptible program, the Commission effectively has admitted that the Decision is harmful, unjust and unwarranted because since 1998, all customers entered or accepted the interruptible program with the reasonable expectation that they could avail themselves of the annual opt-out window.  In this respect, the Decision also is unduly discriminatory.</w:t>
      </w:r>
    </w:p>
    <w:p>
      <w:pPr>
        <w:pStyle w:val="Heading2"/>
        <w:numPr>
          <w:ilvl w:val="0"/>
          <w:numId w:val="13"/>
        </w:numPr>
        <w:ind w:hanging="0" w:start="0"/>
        <w:rPr/>
      </w:pPr>
      <w:r>
        <w:rPr/>
        <w:t>In Suspending the Opt-Out Window, the Commission Failed to Act Within its Statutory Authority.</w:t>
      </w:r>
    </w:p>
    <w:p>
      <w:pPr>
        <w:pStyle w:val="BodyText"/>
        <w:rPr/>
      </w:pPr>
      <w:r>
        <w:rPr/>
        <w:t>As the Commission stated, Public Utilities Code § 743 gives the Commission authority to modify interruptible contracts.</w:t>
      </w:r>
      <w:r>
        <w:rPr>
          <w:rStyle w:val="FootnoteCharacters"/>
          <w:rStyle w:val="FootnoteReference"/>
        </w:rPr>
        <w:footnoteReference w:id="16"/>
      </w:r>
      <w:r>
        <w:rPr/>
        <w:t xml:space="preserve">  Indeed, the Commission recognized that it used such authority in 1998 to change the interruptible contracts into annual commitments.</w:t>
      </w:r>
      <w:r>
        <w:rPr>
          <w:rStyle w:val="FootnoteCharacters"/>
          <w:rStyle w:val="FootnoteReference"/>
        </w:rPr>
        <w:footnoteReference w:id="17"/>
      </w:r>
      <w:r>
        <w:rPr/>
        <w:t xml:space="preserve">   The Commission, however, must exercise its authority under Section 743 reasonably and in conjunction with  limitations on its authority established by other statutory provisions.  Under Public Utilities Code § 728, the Commission only is allowed to amend contracts prospectively, or stated differently, to “determine and fix, by order, the just, reasonable or sufficient rates, classifications, rules practices, or </w:t>
      </w:r>
      <w:r>
        <w:rPr>
          <w:b/>
          <w:bCs/>
          <w:i/>
          <w:iCs/>
        </w:rPr>
        <w:t>contracts to be thereafter observed and in force</w:t>
      </w:r>
      <w:r>
        <w:rPr/>
        <w:t>.”</w:t>
      </w:r>
      <w:r>
        <w:rPr>
          <w:rStyle w:val="FootnoteCharacters"/>
          <w:rStyle w:val="FootnoteReference"/>
        </w:rPr>
        <w:footnoteReference w:id="18"/>
      </w:r>
      <w:r>
        <w:rPr/>
        <w:t xml:space="preserve">  Further, under Public Utilities Code § 729, the Commission may “establish new . . . contracts” only on a prospective basis.</w:t>
      </w:r>
      <w:r>
        <w:rPr>
          <w:rStyle w:val="FootnoteCharacters"/>
          <w:rStyle w:val="FootnoteReference"/>
        </w:rPr>
        <w:footnoteReference w:id="19"/>
      </w:r>
      <w:r>
        <w:rPr/>
        <w:t xml:space="preserve">  Although the Commission states that the opt-out window suspension is “being adopted on a going-forward basis,” customers have been given no meaningful warning about the suspension and no time to mitigate the effect of the suspension.   By suspending the annual opt-out window provisions before customers could exercise their opt-out right for the current year, the Commission has retroactively extended the term of the contract.  Compliance with Sections 728 and 729 of the Public Utilities Code requires the Commission to allow customers to exercise their current opt-out rights before suspending the opt-out window or attaching any new conditions of service.  Therefore, through the Decision the Commission retroactively has altered customers’ contract terms, which is prohibited under California law.</w:t>
      </w:r>
      <w:r>
        <w:rPr>
          <w:rStyle w:val="FootnoteCharacters"/>
          <w:rStyle w:val="FootnoteReference"/>
        </w:rPr>
        <w:footnoteReference w:id="20"/>
      </w:r>
      <w:r>
        <w:rPr/>
        <w:t xml:space="preserve">  The Commission’s exercise of its Section 743 authority under these circumstances violates Sections 728 and 729 and necessitates rehearing of the Decision.</w:t>
      </w:r>
    </w:p>
    <w:p>
      <w:pPr>
        <w:pStyle w:val="BodyText"/>
        <w:rPr/>
      </w:pPr>
      <w:r>
        <w:rPr/>
        <w:t>Furthermore, in its Decision the Commission has ignored the requirements of Public Utilities Code § 1708.  Under that provision, the Commission may amend prior orders but first must provide parties with an “opportunity to be heard.”</w:t>
      </w:r>
      <w:r>
        <w:rPr>
          <w:rStyle w:val="FootnoteCharacters"/>
          <w:rStyle w:val="FootnoteReference"/>
        </w:rPr>
        <w:footnoteReference w:id="21"/>
      </w:r>
      <w:r>
        <w:rPr/>
        <w:t xml:space="preserve">  As clarified by the California Supreme Court, “‘opportunity to be heard’ implies at the very least that a party must be permitted to prove the substance of its protest rather than merely being allowed to submit written objections to a proposal.”</w:t>
      </w:r>
      <w:r>
        <w:rPr>
          <w:rStyle w:val="FootnoteCharacters"/>
          <w:rStyle w:val="FootnoteReference"/>
        </w:rPr>
        <w:footnoteReference w:id="22"/>
      </w:r>
      <w:r>
        <w:rPr/>
        <w:t xml:space="preserve">  In the instant proceeding, parties were allowed only to submit written comments under a compressed timeframe to respond to the Commission’s proposal.  Accordingly, the Commission’s Decision is unjust and unwarranted.</w:t>
      </w:r>
    </w:p>
    <w:p>
      <w:pPr>
        <w:pStyle w:val="BodyText"/>
        <w:rPr>
          <w:b/>
          <w:bCs/>
        </w:rPr>
      </w:pPr>
      <w:r>
        <w:rPr/>
        <w:t>Finally, in the Decision the Commission waived the 30-day comment period regarding the Decision and added the Decision to its October 19</w:t>
      </w:r>
      <w:r>
        <w:rPr>
          <w:vertAlign w:val="superscript"/>
        </w:rPr>
        <w:t>th</w:t>
      </w:r>
      <w:r>
        <w:rPr/>
        <w:t xml:space="preserve"> agenda on less than 10 days’ notice.</w:t>
      </w:r>
      <w:r>
        <w:rPr>
          <w:rStyle w:val="FootnoteCharacters"/>
          <w:rStyle w:val="FootnoteReference"/>
        </w:rPr>
        <w:footnoteReference w:id="23"/>
      </w:r>
      <w:r>
        <w:rPr/>
        <w:t xml:space="preserve">  The Commission explained that it is seeking to “expeditiously implement this temporary suspension.”</w:t>
      </w:r>
      <w:r>
        <w:rPr>
          <w:rStyle w:val="FootnoteCharacters"/>
          <w:rStyle w:val="FootnoteReference"/>
        </w:rPr>
        <w:footnoteReference w:id="24"/>
      </w:r>
      <w:r>
        <w:rPr/>
        <w:t xml:space="preserve">  In suspending the 30-day comment period, it merely concluded that “failure to adopt a decision before the expiration of the 30-day review and comment period would cause significant harm to public welfare.”</w:t>
      </w:r>
      <w:r>
        <w:rPr>
          <w:rStyle w:val="FootnoteCharacters"/>
          <w:rStyle w:val="FootnoteReference"/>
        </w:rPr>
        <w:footnoteReference w:id="25"/>
      </w:r>
      <w:r>
        <w:rPr/>
        <w:t xml:space="preserve">  In adding the Decision to its agenda without 10 days’ notice, the Commission stated, “[b]ased upon our review of the comments on the Commission’s proposal to temporarily suspend the opt-out provisions . . . we have concluded that a failure to act prior to November 1</w:t>
      </w:r>
      <w:r>
        <w:rPr>
          <w:vertAlign w:val="superscript"/>
        </w:rPr>
        <w:t>st</w:t>
      </w:r>
      <w:r>
        <w:rPr/>
        <w:t xml:space="preserve"> will result in numerous customers asking to opt-out of the interruptible program prior to Commission action.”</w:t>
      </w:r>
      <w:r>
        <w:rPr>
          <w:rStyle w:val="FootnoteCharacters"/>
          <w:rStyle w:val="FootnoteReference"/>
        </w:rPr>
        <w:footnoteReference w:id="26"/>
      </w:r>
      <w:r>
        <w:rPr/>
        <w:t xml:space="preserve">  CMTA is unaware of any evidence available to the Commission regarding the number of customers that might opt-out of the program.  By relying upon mere conclusory statements as rationale, the Commission failed to justify suspension of its own procedural rules.  </w:t>
      </w:r>
    </w:p>
    <w:p>
      <w:pPr>
        <w:pStyle w:val="Heading2"/>
        <w:numPr>
          <w:ilvl w:val="0"/>
          <w:numId w:val="13"/>
        </w:numPr>
        <w:ind w:hanging="0" w:start="0"/>
        <w:rPr/>
      </w:pPr>
      <w:r>
        <w:rPr/>
        <w:t>Failure To Promptly Grant Rehearing Will Drive Customers Away From Other Demand Responsive Programs That The Commission Seeks To Develop.</w:t>
      </w:r>
    </w:p>
    <w:p>
      <w:pPr>
        <w:pStyle w:val="BodyText"/>
        <w:rPr/>
      </w:pPr>
      <w:r>
        <w:rPr/>
        <w:t>The Commission’s main purpose in this proceeding is to “retain existing interruptible customers as well as to attract new customers to the program.”</w:t>
      </w:r>
      <w:r>
        <w:rPr>
          <w:rStyle w:val="FootnoteCharacters"/>
          <w:rStyle w:val="FootnoteReference"/>
        </w:rPr>
        <w:footnoteReference w:id="27"/>
      </w:r>
      <w:r>
        <w:rPr/>
        <w:t xml:space="preserve">  In attempting to give itself time “to evaluate [the interruptible] program,”</w:t>
      </w:r>
      <w:r>
        <w:rPr>
          <w:rStyle w:val="FootnoteCharacters"/>
          <w:rStyle w:val="FootnoteReference"/>
        </w:rPr>
        <w:footnoteReference w:id="28"/>
      </w:r>
      <w:r>
        <w:rPr/>
        <w:t xml:space="preserve"> however, the Commission already has frustrated its overall purpose.   By suspending the opt-out window, the Commission may temporarily trap customers in the interruptible program but eventually will drive customers away from it and new programs which the Commission seeks to establish.  As CMTA pointed out in its comments, “[c]ustomers who have relied on the Commission’s approval of these tariff provisions now [will] find that they can no longer rely on recent Commission decisions.”</w:t>
      </w:r>
      <w:r>
        <w:rPr>
          <w:rStyle w:val="FootnoteCharacters"/>
          <w:rStyle w:val="FootnoteReference"/>
        </w:rPr>
        <w:footnoteReference w:id="29"/>
      </w:r>
      <w:r>
        <w:rPr/>
        <w:t xml:space="preserve">  Accordingly, “it is highly unlikely that any new customers would seek to participate in the interruptible program or in similar programs, knowing that the Commission might suddenly change critical terms and conditions to the customers’ detriment.”</w:t>
      </w:r>
      <w:r>
        <w:rPr>
          <w:rStyle w:val="FootnoteCharacters"/>
          <w:rStyle w:val="FootnoteReference"/>
        </w:rPr>
        <w:footnoteReference w:id="30"/>
      </w:r>
      <w:r>
        <w:rPr/>
        <w:t xml:space="preserve">  Consequently, CMTA concluded, “[t]he . . . suspension clearly [will] do long-term damage not only to the Commission’s ability to promote customer participation in demand responsive programs, but also to the level of customer confidence in Commission processes.”</w:t>
      </w:r>
      <w:r>
        <w:rPr>
          <w:rStyle w:val="FootnoteCharacters"/>
          <w:rStyle w:val="FootnoteReference"/>
        </w:rPr>
        <w:footnoteReference w:id="31"/>
      </w:r>
    </w:p>
    <w:p>
      <w:pPr>
        <w:pStyle w:val="BodyText"/>
        <w:rPr/>
      </w:pPr>
      <w:r>
        <w:rPr/>
        <w:t>Other parties also warned the Commission that suspending the opt-out window would frustrate its goal.  The Energy Producers and Users Coalition (“EPUC”) stated that by suspending the opt-out window “[t]he Commission will thus undermine customer confidence in the commitments it makes and will add to regulatory uncertainty which currently plagues the state.”</w:t>
      </w:r>
      <w:r>
        <w:rPr>
          <w:rStyle w:val="FootnoteCharacters"/>
          <w:rStyle w:val="FootnoteReference"/>
        </w:rPr>
        <w:footnoteReference w:id="32"/>
      </w:r>
      <w:r>
        <w:rPr/>
        <w:t xml:space="preserve">  EPUC further recognized that the Commission’s action will drive customers to “competing incentive programs . . . in which large industrial customers can choose to participate.”</w:t>
      </w:r>
      <w:r>
        <w:rPr>
          <w:rStyle w:val="FootnoteCharacters"/>
          <w:rStyle w:val="FootnoteReference"/>
        </w:rPr>
        <w:footnoteReference w:id="33"/>
      </w:r>
      <w:r>
        <w:rPr/>
        <w:t xml:space="preserve">  Because the Decision will undermine efforts to promote demand responsive programs, the Commission should act promptly to mitigate these negative consequences.  The Commission, therefore, should grant rehearing promptly and lift the opt-out window suspension without condition.</w:t>
      </w:r>
    </w:p>
    <w:p>
      <w:pPr>
        <w:pStyle w:val="Header"/>
        <w:numPr>
          <w:ilvl w:val="0"/>
          <w:numId w:val="12"/>
        </w:numPr>
        <w:ind w:hanging="0" w:start="0"/>
        <w:rPr/>
      </w:pPr>
      <w:r>
        <w:rPr/>
        <w:t>CONCLUSION</w:t>
      </w:r>
    </w:p>
    <w:p>
      <w:pPr>
        <w:pStyle w:val="BodyText"/>
        <w:ind w:hanging="0" w:end="0"/>
        <w:rPr/>
      </w:pPr>
      <w:r>
        <w:rPr/>
        <w:tab/>
        <w:t>For the foregoing reasons, CMTA respectfully urges the Commission to grant rehearing and to promptly reinstate the opt-out window.</w:t>
      </w:r>
    </w:p>
    <w:p>
      <w:pPr>
        <w:pStyle w:val="Normal"/>
        <w:rPr/>
      </w:pPr>
      <w:r>
        <w:rPr/>
        <w:tab/>
        <w:tab/>
        <w:tab/>
        <w:tab/>
        <w:tab/>
        <w:tab/>
        <w:tab/>
        <w:t>Respectfully submitted,</w:t>
      </w:r>
    </w:p>
    <w:p>
      <w:pPr>
        <w:pStyle w:val="Normal"/>
        <w:keepNext w:val="true"/>
        <w:keepLines/>
        <w:rPr/>
      </w:pPr>
      <w:r>
        <w:rPr/>
      </w:r>
    </w:p>
    <w:p>
      <w:pPr>
        <w:pStyle w:val="Normal"/>
        <w:keepNext w:val="true"/>
        <w:keepLines/>
        <w:rPr/>
      </w:pPr>
      <w:r>
        <w:rPr/>
      </w:r>
    </w:p>
    <w:p>
      <w:pPr>
        <w:pStyle w:val="Normal"/>
        <w:keepNext w:val="true"/>
        <w:keepLines/>
        <w:rPr/>
      </w:pPr>
      <w:r>
        <w:rPr/>
        <w:tab/>
        <w:tab/>
        <w:tab/>
        <w:tab/>
      </w:r>
    </w:p>
    <w:p>
      <w:pPr>
        <w:pStyle w:val="Normal"/>
        <w:keepNext w:val="true"/>
        <w:keepLines/>
        <w:rPr/>
      </w:pPr>
      <w:r>
        <w:rPr/>
      </w:r>
    </w:p>
    <w:p>
      <w:pPr>
        <w:pStyle w:val="Normal"/>
        <w:keepNext w:val="true"/>
        <w:keepLines/>
        <w:rPr/>
      </w:pPr>
      <w:r>
        <w:rPr/>
        <w:tab/>
        <w:tab/>
        <w:tab/>
        <w:tab/>
        <w:tab/>
        <w:tab/>
        <w:tab/>
        <w:t>Keith R. McCrea</w:t>
      </w:r>
    </w:p>
    <w:p>
      <w:pPr>
        <w:pStyle w:val="Normal"/>
        <w:keepNext w:val="true"/>
        <w:keepLines/>
        <w:rPr/>
      </w:pPr>
      <w:r>
        <w:rPr/>
        <w:tab/>
        <w:tab/>
        <w:tab/>
        <w:tab/>
        <w:tab/>
        <w:tab/>
        <w:tab/>
        <w:t>Daniel J. Oginsky</w:t>
      </w:r>
    </w:p>
    <w:p>
      <w:pPr>
        <w:pStyle w:val="Normal"/>
        <w:keepNext w:val="true"/>
        <w:keepLines/>
        <w:rPr/>
      </w:pPr>
      <w:r>
        <w:rPr/>
        <w:tab/>
        <w:tab/>
        <w:tab/>
        <w:tab/>
        <w:tab/>
        <w:tab/>
        <w:tab/>
      </w:r>
      <w:r>
        <w:rPr>
          <w:smallCaps/>
        </w:rPr>
        <w:t>Sutherland Asbill &amp; Brennan LLP</w:t>
      </w:r>
    </w:p>
    <w:p>
      <w:pPr>
        <w:pStyle w:val="Normal"/>
        <w:keepNext w:val="true"/>
        <w:keepLines/>
        <w:rPr/>
      </w:pPr>
      <w:r>
        <w:rPr/>
        <w:tab/>
        <w:tab/>
        <w:tab/>
        <w:tab/>
        <w:tab/>
        <w:tab/>
        <w:tab/>
        <w:t>1275 Pennsylvania Avenue, N.W.</w:t>
      </w:r>
    </w:p>
    <w:p>
      <w:pPr>
        <w:pStyle w:val="Normal"/>
        <w:keepNext w:val="true"/>
        <w:keepLines/>
        <w:rPr/>
      </w:pPr>
      <w:r>
        <w:rPr/>
        <w:tab/>
        <w:tab/>
        <w:tab/>
        <w:tab/>
        <w:tab/>
        <w:tab/>
        <w:tab/>
        <w:t>Washington, D.C. 20004</w:t>
      </w:r>
    </w:p>
    <w:p>
      <w:pPr>
        <w:pStyle w:val="Normal"/>
        <w:keepNext w:val="true"/>
        <w:keepLines/>
        <w:rPr/>
      </w:pPr>
      <w:r>
        <w:rPr/>
        <w:tab/>
        <w:tab/>
        <w:tab/>
        <w:tab/>
        <w:tab/>
        <w:tab/>
        <w:tab/>
        <w:t>(202) 383-0100</w:t>
      </w:r>
    </w:p>
    <w:p>
      <w:pPr>
        <w:pStyle w:val="Normal"/>
        <w:keepNext w:val="true"/>
        <w:keepLines/>
        <w:rPr/>
      </w:pPr>
      <w:r>
        <w:rPr/>
      </w:r>
    </w:p>
    <w:p>
      <w:pPr>
        <w:pStyle w:val="Normal"/>
        <w:keepNext w:val="true"/>
        <w:keepLines/>
        <w:rPr/>
      </w:pPr>
      <w:r>
        <w:rPr/>
        <w:tab/>
        <w:tab/>
        <w:tab/>
        <w:tab/>
        <w:tab/>
      </w:r>
      <w:r>
        <w:rPr>
          <w:i/>
        </w:rPr>
        <w:tab/>
        <w:tab/>
        <w:t>Attorneys for the</w:t>
      </w:r>
    </w:p>
    <w:p>
      <w:pPr>
        <w:pStyle w:val="Normal"/>
        <w:keepNext w:val="true"/>
        <w:keepLines/>
        <w:rPr/>
      </w:pPr>
      <w:r>
        <w:rPr>
          <w:i/>
        </w:rPr>
        <w:tab/>
      </w:r>
      <w:r>
        <w:rPr/>
        <w:tab/>
        <w:tab/>
        <w:tab/>
        <w:tab/>
        <w:tab/>
        <w:tab/>
      </w:r>
      <w:r>
        <w:rPr>
          <w:i/>
          <w:iCs/>
        </w:rPr>
        <w:t xml:space="preserve">California Manufacturers &amp; </w:t>
      </w:r>
    </w:p>
    <w:p>
      <w:pPr>
        <w:pStyle w:val="BodyText"/>
        <w:ind w:hanging="0" w:start="5040" w:end="0"/>
        <w:rPr>
          <w:i/>
          <w:i/>
          <w:iCs/>
        </w:rPr>
      </w:pPr>
      <w:r>
        <w:rPr>
          <w:i/>
          <w:iCs/>
        </w:rPr>
        <w:t>Technology Association</w:t>
      </w:r>
    </w:p>
    <w:p>
      <w:pPr>
        <w:sectPr>
          <w:footerReference w:type="default" r:id="rId4"/>
          <w:footerReference w:type="first" r:id="rId5"/>
          <w:footnotePr>
            <w:numFmt w:val="decimal"/>
          </w:footnotePr>
          <w:type w:val="nextPage"/>
          <w:pgSz w:w="12240" w:h="15840"/>
          <w:pgMar w:left="1440" w:right="1440" w:gutter="0" w:header="0" w:top="1440" w:footer="720" w:bottom="1440"/>
          <w:pgNumType w:start="1" w:fmt="decimal"/>
          <w:formProt w:val="false"/>
          <w:titlePg/>
          <w:textDirection w:val="lrTb"/>
          <w:docGrid w:type="default" w:linePitch="360" w:charSpace="0"/>
        </w:sectPr>
        <w:pStyle w:val="BodyText"/>
        <w:rPr/>
      </w:pPr>
      <w:r>
        <w:rPr/>
        <w:t>November 17, 2000</w:t>
      </w:r>
    </w:p>
    <w:p>
      <w:pPr>
        <w:pStyle w:val="Normal"/>
        <w:jc w:val="center"/>
        <w:rPr>
          <w:rFonts w:ascii="Dutch Roman 12pt" w:hAnsi="Dutch Roman 12pt" w:cs="Dutch Roman 12pt"/>
        </w:rPr>
      </w:pPr>
      <w:r>
        <w:rPr>
          <w:b/>
        </w:rPr>
        <w:t>CERTIFICATE OF SERVICE</w:t>
      </w:r>
    </w:p>
    <w:p>
      <w:pPr>
        <w:pStyle w:val="Normal"/>
        <w:jc w:val="both"/>
        <w:rPr>
          <w:rFonts w:ascii="Dutch Roman 12pt" w:hAnsi="Dutch Roman 12pt" w:cs="Dutch Roman 12pt"/>
        </w:rPr>
      </w:pPr>
      <w:r>
        <w:rPr>
          <w:rFonts w:cs="Dutch Roman 12pt" w:ascii="Dutch Roman 12pt" w:hAnsi="Dutch Roman 12pt"/>
        </w:rPr>
      </w:r>
    </w:p>
    <w:p>
      <w:pPr>
        <w:pStyle w:val="BodyText"/>
        <w:rPr/>
      </w:pPr>
      <w:r>
        <w:rPr/>
        <w:t>I hereby certify that I have this day served a copy of the foregoing “Application of the California Manufacturers &amp; Technology Association for Rehearing of Decision 00-10-066” upon each person designated on the official service list compiled in this proceeding.</w:t>
      </w:r>
    </w:p>
    <w:p>
      <w:pPr>
        <w:pStyle w:val="BodyText"/>
        <w:rPr/>
      </w:pPr>
      <w:r>
        <w:rPr>
          <w:rFonts w:cs="Dutch Roman 12pt" w:ascii="Dutch Roman 12pt" w:hAnsi="Dutch Roman 12pt"/>
        </w:rPr>
        <w:t>Dated at Washington, D.C. this 17</w:t>
      </w:r>
      <w:r>
        <w:rPr>
          <w:rFonts w:cs="Dutch Roman 12pt" w:ascii="Dutch Roman 12pt" w:hAnsi="Dutch Roman 12pt"/>
          <w:vertAlign w:val="superscript"/>
        </w:rPr>
        <w:t>th</w:t>
      </w:r>
      <w:r>
        <w:rPr>
          <w:rFonts w:cs="Dutch Roman 12pt" w:ascii="Dutch Roman 12pt" w:hAnsi="Dutch Roman 12pt"/>
        </w:rPr>
        <w:t xml:space="preserve"> day of November, 2000.</w:t>
      </w:r>
    </w:p>
    <w:p>
      <w:pPr>
        <w:pStyle w:val="Normal"/>
        <w:spacing w:lineRule="atLeast" w:line="480"/>
        <w:jc w:val="both"/>
        <w:rPr>
          <w:rFonts w:ascii="Dutch Roman 12pt" w:hAnsi="Dutch Roman 12pt" w:cs="Dutch Roman 12pt"/>
        </w:rPr>
      </w:pPr>
      <w:r>
        <w:rPr>
          <w:rFonts w:cs="Dutch Roman 12pt" w:ascii="Dutch Roman 12pt" w:hAnsi="Dutch Roman 12pt"/>
        </w:rPr>
      </w:r>
    </w:p>
    <w:p>
      <w:pPr>
        <w:pStyle w:val="Normal"/>
        <w:spacing w:lineRule="atLeast" w:line="480"/>
        <w:jc w:val="both"/>
        <w:rPr>
          <w:rFonts w:ascii="Dutch Roman 12pt" w:hAnsi="Dutch Roman 12pt" w:cs="Dutch Roman 12pt"/>
          <w:u w:val="single"/>
        </w:rPr>
      </w:pPr>
      <w:r>
        <w:rPr>
          <w:rFonts w:cs="Dutch Roman 12pt" w:ascii="Dutch Roman 12pt" w:hAnsi="Dutch Roman 12pt"/>
          <w:u w:val="single"/>
        </w:rPr>
      </w:r>
    </w:p>
    <w:p>
      <w:pPr>
        <w:pStyle w:val="Normal"/>
        <w:jc w:val="both"/>
        <w:rPr>
          <w:b/>
        </w:rPr>
      </w:pPr>
      <w:r>
        <w:rPr>
          <w:b/>
        </w:rPr>
        <w:tab/>
        <w:tab/>
        <w:tab/>
        <w:tab/>
        <w:tab/>
        <w:tab/>
        <w:t>_______________________________________</w:t>
      </w:r>
    </w:p>
    <w:p>
      <w:pPr>
        <w:sectPr>
          <w:footerReference w:type="default" r:id="rId6"/>
          <w:footerReference w:type="first" r:id="rId7"/>
          <w:footnotePr>
            <w:numFmt w:val="decimal"/>
          </w:footnotePr>
          <w:type w:val="nextPage"/>
          <w:pgSz w:w="12240" w:h="15840"/>
          <w:pgMar w:left="1440" w:right="1440" w:gutter="0" w:header="0" w:top="1440" w:footer="720" w:bottom="1440"/>
          <w:pgNumType w:fmt="decimal"/>
          <w:formProt w:val="false"/>
          <w:textDirection w:val="lrTb"/>
          <w:docGrid w:type="default" w:linePitch="360" w:charSpace="0"/>
        </w:sectPr>
        <w:pStyle w:val="Normal"/>
        <w:rPr/>
      </w:pPr>
      <w:r>
        <w:rPr>
          <w:b/>
        </w:rPr>
        <w:tab/>
        <w:tab/>
        <w:tab/>
        <w:tab/>
        <w:tab/>
        <w:tab/>
      </w:r>
      <w:r>
        <w:rPr>
          <w:bCs/>
        </w:rPr>
        <w:t>Jody Smith</w:t>
      </w:r>
    </w:p>
    <w:p>
      <w:pPr>
        <w:pStyle w:val="BodyText"/>
        <w:spacing w:before="0" w:after="240"/>
        <w:ind w:hanging="0" w:end="0"/>
        <w:rPr/>
      </w:pPr>
      <w:r>
        <w:rPr/>
      </w:r>
    </w:p>
    <w:sectPr>
      <w:footerReference w:type="default" r:id="rId8"/>
      <w:footerReference w:type="first" r:id="rId9"/>
      <w:footnotePr>
        <w:numFmt w:val="decimal"/>
      </w:footnotePr>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Courier New">
    <w:charset w:val="00" w:characterSet="windows-1252"/>
    <w:family w:val="modern"/>
    <w:pitch w:val="default"/>
  </w:font>
  <w:font w:name="Dutch Roman 12p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283210" cy="20955"/>
              <wp:effectExtent l="0" t="0" r="0" b="0"/>
              <wp:wrapSquare wrapText="bothSides"/>
              <wp:docPr id="1" name="Frame1"/>
              <a:graphic xmlns:a="http://schemas.openxmlformats.org/drawingml/2006/main">
                <a:graphicData uri="http://schemas.microsoft.com/office/word/2010/wordprocessingShape">
                  <wps:wsp>
                    <wps:cNvSpPr txBox="1"/>
                    <wps:spPr>
                      <a:xfrm>
                        <a:off x="0" y="0"/>
                        <a:ext cx="283210" cy="20955"/>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22.3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1460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Decision at 13.</w:t>
      </w:r>
    </w:p>
  </w:footnote>
  <w:footnote w:id="3">
    <w:p>
      <w:pPr>
        <w:pStyle w:val="FootnoteText"/>
        <w:rPr/>
      </w:pPr>
      <w:r>
        <w:rPr>
          <w:rStyle w:val="FootnoteCharacters"/>
        </w:rPr>
        <w:footnoteRef/>
      </w:r>
      <w:r>
        <w:rPr/>
        <w:t xml:space="preserve">  </w:t>
      </w:r>
      <w:r>
        <w:rPr/>
        <w:t>Decision at 5.</w:t>
      </w:r>
    </w:p>
  </w:footnote>
  <w:footnote w:id="4">
    <w:p>
      <w:pPr>
        <w:pStyle w:val="FootnoteText"/>
        <w:rPr/>
      </w:pPr>
      <w:r>
        <w:rPr>
          <w:rStyle w:val="FootnoteCharacters"/>
        </w:rPr>
        <w:footnoteRef/>
      </w:r>
      <w:r>
        <w:rPr/>
        <w:t xml:space="preserve">  </w:t>
      </w:r>
      <w:r>
        <w:rPr>
          <w:i/>
          <w:iCs/>
        </w:rPr>
        <w:t>Id.</w:t>
      </w:r>
    </w:p>
  </w:footnote>
  <w:footnote w:id="5">
    <w:p>
      <w:pPr>
        <w:pStyle w:val="FootnoteText"/>
        <w:rPr/>
      </w:pPr>
      <w:r>
        <w:rPr>
          <w:rStyle w:val="FootnoteCharacters"/>
        </w:rPr>
        <w:footnoteRef/>
      </w:r>
      <w:r>
        <w:rPr/>
        <w:t xml:space="preserve">  </w:t>
      </w:r>
      <w:r>
        <w:rPr>
          <w:i/>
          <w:iCs/>
        </w:rPr>
        <w:t>Id.</w:t>
      </w:r>
    </w:p>
  </w:footnote>
  <w:footnote w:id="6">
    <w:p>
      <w:pPr>
        <w:pStyle w:val="FootnoteText"/>
        <w:rPr/>
      </w:pPr>
      <w:r>
        <w:rPr>
          <w:rStyle w:val="FootnoteCharacters"/>
        </w:rPr>
        <w:footnoteRef/>
      </w:r>
      <w:r>
        <w:rPr/>
        <w:t xml:space="preserve">  </w:t>
      </w:r>
      <w:r>
        <w:rPr>
          <w:i/>
          <w:iCs/>
        </w:rPr>
        <w:t>Id.</w:t>
      </w:r>
    </w:p>
  </w:footnote>
  <w:footnote w:id="7">
    <w:p>
      <w:pPr>
        <w:pStyle w:val="FootnoteText"/>
        <w:rPr/>
      </w:pPr>
      <w:r>
        <w:rPr>
          <w:rStyle w:val="FootnoteCharacters"/>
        </w:rPr>
        <w:footnoteRef/>
      </w:r>
      <w:r>
        <w:rPr/>
        <w:t xml:space="preserve">  </w:t>
      </w:r>
      <w:r>
        <w:rPr/>
        <w:t>CMTA Comments at 2.</w:t>
      </w:r>
    </w:p>
  </w:footnote>
  <w:footnote w:id="8">
    <w:p>
      <w:pPr>
        <w:pStyle w:val="FootnoteText"/>
        <w:rPr/>
      </w:pPr>
      <w:r>
        <w:rPr>
          <w:rStyle w:val="FootnoteCharacters"/>
        </w:rPr>
        <w:footnoteRef/>
      </w:r>
      <w:r>
        <w:rPr/>
        <w:t xml:space="preserve">  </w:t>
      </w:r>
      <w:r>
        <w:rPr>
          <w:i/>
          <w:iCs/>
        </w:rPr>
        <w:t>See</w:t>
      </w:r>
      <w:r>
        <w:rPr/>
        <w:t xml:space="preserve"> </w:t>
      </w:r>
      <w:r>
        <w:rPr>
          <w:i/>
          <w:iCs/>
        </w:rPr>
        <w:t>also</w:t>
      </w:r>
      <w:r>
        <w:rPr/>
        <w:t xml:space="preserve"> </w:t>
      </w:r>
      <w:r>
        <w:rPr>
          <w:i/>
          <w:iCs/>
        </w:rPr>
        <w:t>Protest of Energy Producers and Users Coalition on the Proposed Suspension of the November “Opt-Out Window”</w:t>
      </w:r>
      <w:r>
        <w:rPr/>
        <w:t xml:space="preserve">, R.00-10-002 (filed October 12, 2000) (“EPUC Comments”), at 10-11; </w:t>
      </w:r>
      <w:r>
        <w:rPr>
          <w:i/>
          <w:iCs/>
        </w:rPr>
        <w:t>Comments of Berry Petroleum and Amgen, Inc. on the Proposed Suspension of the Opt-Out Provisions</w:t>
      </w:r>
      <w:r>
        <w:rPr/>
        <w:t xml:space="preserve">, R.00-10-002 (filed October 12, 2000), at 5-7; </w:t>
      </w:r>
      <w:r>
        <w:rPr>
          <w:i/>
          <w:iCs/>
        </w:rPr>
        <w:t>Comments of Amcor Sunclipse North America</w:t>
      </w:r>
      <w:r>
        <w:rPr/>
        <w:t>, R.00-10-002 (filed October 12, 2000), at 5-6.</w:t>
      </w:r>
    </w:p>
  </w:footnote>
  <w:footnote w:id="9">
    <w:p>
      <w:pPr>
        <w:pStyle w:val="FootnoteText"/>
        <w:rPr/>
      </w:pPr>
      <w:r>
        <w:rPr>
          <w:rStyle w:val="FootnoteCharacters"/>
        </w:rPr>
        <w:footnoteRef/>
      </w:r>
      <w:r>
        <w:rPr/>
        <w:t xml:space="preserve">  </w:t>
      </w:r>
      <w:r>
        <w:rPr/>
        <w:t>Decision at 5.</w:t>
      </w:r>
    </w:p>
  </w:footnote>
  <w:footnote w:id="10">
    <w:p>
      <w:pPr>
        <w:pStyle w:val="FootnoteText"/>
        <w:rPr/>
      </w:pPr>
      <w:r>
        <w:rPr>
          <w:rStyle w:val="FootnoteCharacters"/>
        </w:rPr>
        <w:footnoteRef/>
      </w:r>
      <w:r>
        <w:rPr/>
        <w:t xml:space="preserve">  </w:t>
      </w:r>
      <w:r>
        <w:rPr>
          <w:i/>
          <w:iCs/>
        </w:rPr>
        <w:t>California Manufacturers Association v. Public Utilities Comm’n</w:t>
      </w:r>
      <w:r>
        <w:rPr/>
        <w:t>, 595 P.2d 98 (Cal. 1979).</w:t>
      </w:r>
    </w:p>
  </w:footnote>
  <w:footnote w:id="11">
    <w:p>
      <w:pPr>
        <w:pStyle w:val="FootnoteText"/>
        <w:rPr/>
      </w:pPr>
      <w:r>
        <w:rPr>
          <w:rStyle w:val="FootnoteCharacters"/>
        </w:rPr>
        <w:footnoteRef/>
      </w:r>
      <w:r>
        <w:rPr/>
        <w:t xml:space="preserve">  </w:t>
      </w:r>
      <w:r>
        <w:rPr/>
        <w:t>Decision at 5.</w:t>
      </w:r>
    </w:p>
  </w:footnote>
  <w:footnote w:id="12">
    <w:p>
      <w:pPr>
        <w:pStyle w:val="FootnoteText"/>
        <w:rPr/>
      </w:pPr>
      <w:r>
        <w:rPr>
          <w:rStyle w:val="FootnoteCharacters"/>
        </w:rPr>
        <w:footnoteRef/>
      </w:r>
      <w:r>
        <w:rPr/>
        <w:t xml:space="preserve"> </w:t>
      </w:r>
      <w:r>
        <w:rPr>
          <w:i/>
          <w:iCs/>
        </w:rPr>
        <w:t>Id.</w:t>
      </w:r>
    </w:p>
  </w:footnote>
  <w:footnote w:id="13">
    <w:p>
      <w:pPr>
        <w:pStyle w:val="FootnoteText"/>
        <w:rPr/>
      </w:pPr>
      <w:r>
        <w:rPr>
          <w:rStyle w:val="FootnoteCharacters"/>
        </w:rPr>
        <w:footnoteRef/>
      </w:r>
      <w:r>
        <w:rPr/>
        <w:t xml:space="preserve"> </w:t>
      </w:r>
      <w:r>
        <w:rPr>
          <w:i/>
          <w:iCs/>
        </w:rPr>
        <w:t>Id.</w:t>
      </w:r>
    </w:p>
  </w:footnote>
  <w:footnote w:id="14">
    <w:p>
      <w:pPr>
        <w:pStyle w:val="FootnoteText"/>
        <w:rPr/>
      </w:pPr>
      <w:r>
        <w:rPr>
          <w:rStyle w:val="FootnoteCharacters"/>
        </w:rPr>
        <w:footnoteRef/>
      </w:r>
      <w:r>
        <w:rPr/>
        <w:t xml:space="preserve"> </w:t>
      </w:r>
      <w:r>
        <w:rPr/>
        <w:t>Decision at 8.</w:t>
      </w:r>
    </w:p>
  </w:footnote>
  <w:footnote w:id="15">
    <w:p>
      <w:pPr>
        <w:pStyle w:val="FootnoteText"/>
        <w:rPr/>
      </w:pPr>
      <w:r>
        <w:rPr>
          <w:rStyle w:val="FootnoteCharacters"/>
        </w:rPr>
        <w:footnoteRef/>
      </w:r>
      <w:r>
        <w:rPr/>
        <w:t xml:space="preserve"> </w:t>
      </w:r>
      <w:r>
        <w:rPr/>
        <w:t>CMTA Comments at 5.</w:t>
      </w:r>
    </w:p>
  </w:footnote>
  <w:footnote w:id="16">
    <w:p>
      <w:pPr>
        <w:pStyle w:val="FootnoteText"/>
        <w:rPr/>
      </w:pPr>
      <w:r>
        <w:rPr>
          <w:rStyle w:val="FootnoteCharacters"/>
        </w:rPr>
        <w:footnoteRef/>
      </w:r>
      <w:r>
        <w:rPr/>
        <w:t xml:space="preserve"> </w:t>
      </w:r>
      <w:r>
        <w:rPr/>
        <w:t>Decision at 6; Cal. Pub. Util. Code § 743.</w:t>
      </w:r>
    </w:p>
  </w:footnote>
  <w:footnote w:id="17">
    <w:p>
      <w:pPr>
        <w:pStyle w:val="FootnoteText"/>
        <w:rPr/>
      </w:pPr>
      <w:r>
        <w:rPr>
          <w:rStyle w:val="FootnoteCharacters"/>
        </w:rPr>
        <w:footnoteRef/>
      </w:r>
      <w:r>
        <w:rPr/>
        <w:t xml:space="preserve"> </w:t>
      </w:r>
      <w:r>
        <w:rPr/>
        <w:t>Decision at 6.</w:t>
      </w:r>
    </w:p>
  </w:footnote>
  <w:footnote w:id="18">
    <w:p>
      <w:pPr>
        <w:pStyle w:val="FootnoteText"/>
        <w:rPr/>
      </w:pPr>
      <w:r>
        <w:rPr>
          <w:rStyle w:val="FootnoteCharacters"/>
        </w:rPr>
        <w:footnoteRef/>
      </w:r>
      <w:r>
        <w:rPr/>
        <w:t xml:space="preserve"> </w:t>
      </w:r>
      <w:r>
        <w:rPr/>
        <w:t>Cal. Pub. Util. Code § 728.</w:t>
      </w:r>
    </w:p>
  </w:footnote>
  <w:footnote w:id="19">
    <w:p>
      <w:pPr>
        <w:pStyle w:val="FootnoteText"/>
        <w:rPr/>
      </w:pPr>
      <w:r>
        <w:rPr>
          <w:rStyle w:val="FootnoteCharacters"/>
        </w:rPr>
        <w:footnoteRef/>
      </w:r>
      <w:r>
        <w:rPr/>
        <w:t xml:space="preserve"> </w:t>
      </w:r>
      <w:r>
        <w:rPr/>
        <w:t xml:space="preserve">Cal. Pub. Util. Code § 729.  As the California Supreme Court found, incorporated in § 729 is the requirement from § 728 that such action only may be accomplished prospectively.  </w:t>
      </w:r>
      <w:r>
        <w:rPr>
          <w:i/>
          <w:iCs/>
        </w:rPr>
        <w:t>Pacific Telephone &amp; Telegraph Co. v. Public Utilities Comm’n</w:t>
      </w:r>
      <w:r>
        <w:rPr/>
        <w:t>, 62 Cal. 2d 634, 653-54 (Cal. 1965).</w:t>
      </w:r>
    </w:p>
  </w:footnote>
  <w:footnote w:id="20">
    <w:p>
      <w:pPr>
        <w:pStyle w:val="FootnoteText"/>
        <w:rPr/>
      </w:pPr>
      <w:r>
        <w:rPr>
          <w:rStyle w:val="FootnoteCharacters"/>
        </w:rPr>
        <w:footnoteRef/>
      </w:r>
      <w:r>
        <w:rPr/>
        <w:t xml:space="preserve"> </w:t>
      </w:r>
      <w:r>
        <w:rPr>
          <w:i/>
          <w:iCs/>
        </w:rPr>
        <w:t xml:space="preserve">Pacific Telephone &amp; Telegraph Co., </w:t>
      </w:r>
      <w:r>
        <w:rPr/>
        <w:t>62 Cal. 2d at 649-56 (Cal. 1965) (holding that Public Utilities Code §§ 728 and 729 require that rates may only be set prospectively).</w:t>
      </w:r>
    </w:p>
  </w:footnote>
  <w:footnote w:id="21">
    <w:p>
      <w:pPr>
        <w:pStyle w:val="FootnoteText"/>
        <w:rPr/>
      </w:pPr>
      <w:r>
        <w:rPr>
          <w:rStyle w:val="FootnoteCharacters"/>
        </w:rPr>
        <w:footnoteRef/>
      </w:r>
      <w:r>
        <w:rPr/>
        <w:t xml:space="preserve"> </w:t>
      </w:r>
      <w:r>
        <w:rPr/>
        <w:t xml:space="preserve">Cal. Pub. Util. Code § 1708.  “It cannot be denied that utility tariff provisions are orders or decisions made by this Commission.”  </w:t>
      </w:r>
      <w:r>
        <w:rPr>
          <w:i/>
          <w:iCs/>
        </w:rPr>
        <w:t>Cleancraft, Inc. v. San Diego Gas and Electric Co.</w:t>
      </w:r>
      <w:r>
        <w:rPr/>
        <w:t xml:space="preserve">, Case No. 95-09-121 (September 21, 1995) </w:t>
      </w:r>
      <w:r>
        <w:rPr>
          <w:i/>
          <w:iCs/>
        </w:rPr>
        <w:t xml:space="preserve">reprinted in </w:t>
      </w:r>
      <w:r>
        <w:rPr/>
        <w:t>15 CPUC 2d 547.</w:t>
      </w:r>
    </w:p>
  </w:footnote>
  <w:footnote w:id="22">
    <w:p>
      <w:pPr>
        <w:pStyle w:val="FootnoteText"/>
        <w:rPr/>
      </w:pPr>
      <w:r>
        <w:rPr>
          <w:rStyle w:val="FootnoteCharacters"/>
        </w:rPr>
        <w:footnoteRef/>
      </w:r>
      <w:r>
        <w:rPr/>
        <w:t xml:space="preserve"> </w:t>
      </w:r>
      <w:r>
        <w:rPr>
          <w:i/>
          <w:iCs/>
        </w:rPr>
        <w:t>California Trucking Assoc. v. Public Utilities Comm’n</w:t>
      </w:r>
      <w:r>
        <w:rPr/>
        <w:t>, 561 P.2d 280 (Cal. 1977).</w:t>
      </w:r>
    </w:p>
  </w:footnote>
  <w:footnote w:id="23">
    <w:p>
      <w:pPr>
        <w:pStyle w:val="FootnoteText"/>
        <w:rPr/>
      </w:pPr>
      <w:r>
        <w:rPr>
          <w:rStyle w:val="FootnoteCharacters"/>
        </w:rPr>
        <w:footnoteRef/>
      </w:r>
      <w:r>
        <w:rPr/>
        <w:t xml:space="preserve"> </w:t>
      </w:r>
      <w:r>
        <w:rPr/>
        <w:t>Decision at 10-11.</w:t>
      </w:r>
    </w:p>
  </w:footnote>
  <w:footnote w:id="24">
    <w:p>
      <w:pPr>
        <w:pStyle w:val="FootnoteText"/>
        <w:rPr/>
      </w:pPr>
      <w:r>
        <w:rPr>
          <w:rStyle w:val="FootnoteCharacters"/>
        </w:rPr>
        <w:footnoteRef/>
      </w:r>
      <w:r>
        <w:rPr/>
        <w:t xml:space="preserve"> </w:t>
      </w:r>
      <w:r>
        <w:rPr/>
        <w:t>Decision at 9.</w:t>
      </w:r>
    </w:p>
  </w:footnote>
  <w:footnote w:id="25">
    <w:p>
      <w:pPr>
        <w:pStyle w:val="FootnoteText"/>
        <w:rPr/>
      </w:pPr>
      <w:r>
        <w:rPr>
          <w:rStyle w:val="FootnoteCharacters"/>
        </w:rPr>
        <w:footnoteRef/>
      </w:r>
      <w:r>
        <w:rPr/>
        <w:t xml:space="preserve"> </w:t>
      </w:r>
      <w:r>
        <w:rPr/>
        <w:t>Decision at 10.</w:t>
      </w:r>
    </w:p>
  </w:footnote>
  <w:footnote w:id="26">
    <w:p>
      <w:pPr>
        <w:pStyle w:val="FootnoteText"/>
        <w:rPr/>
      </w:pPr>
      <w:r>
        <w:rPr>
          <w:rStyle w:val="FootnoteCharacters"/>
        </w:rPr>
        <w:footnoteRef/>
      </w:r>
      <w:r>
        <w:rPr/>
        <w:t xml:space="preserve"> </w:t>
      </w:r>
      <w:r>
        <w:rPr/>
        <w:t>Decision at 11.</w:t>
      </w:r>
    </w:p>
  </w:footnote>
  <w:footnote w:id="27">
    <w:p>
      <w:pPr>
        <w:pStyle w:val="FootnoteText"/>
        <w:rPr/>
      </w:pPr>
      <w:r>
        <w:rPr>
          <w:rStyle w:val="FootnoteCharacters"/>
        </w:rPr>
        <w:footnoteRef/>
      </w:r>
      <w:r>
        <w:rPr/>
        <w:t xml:space="preserve"> </w:t>
      </w:r>
      <w:r>
        <w:rPr/>
        <w:t>OIR at 7.</w:t>
      </w:r>
    </w:p>
  </w:footnote>
  <w:footnote w:id="28">
    <w:p>
      <w:pPr>
        <w:pStyle w:val="FootnoteText"/>
        <w:rPr/>
      </w:pPr>
      <w:r>
        <w:rPr>
          <w:rStyle w:val="FootnoteCharacters"/>
        </w:rPr>
        <w:footnoteRef/>
      </w:r>
      <w:r>
        <w:rPr/>
        <w:t xml:space="preserve"> </w:t>
      </w:r>
      <w:r>
        <w:rPr/>
        <w:t>Decision at 1.</w:t>
      </w:r>
    </w:p>
  </w:footnote>
  <w:footnote w:id="29">
    <w:p>
      <w:pPr>
        <w:pStyle w:val="FootnoteText"/>
        <w:rPr/>
      </w:pPr>
      <w:r>
        <w:rPr>
          <w:rStyle w:val="FootnoteCharacters"/>
        </w:rPr>
        <w:footnoteRef/>
      </w:r>
      <w:r>
        <w:rPr/>
        <w:t xml:space="preserve"> </w:t>
      </w:r>
      <w:r>
        <w:rPr/>
        <w:t>CMTA Comments at 5-6.</w:t>
      </w:r>
    </w:p>
  </w:footnote>
  <w:footnote w:id="30">
    <w:p>
      <w:pPr>
        <w:pStyle w:val="FootnoteText"/>
        <w:rPr/>
      </w:pPr>
      <w:r>
        <w:rPr>
          <w:rStyle w:val="FootnoteCharacters"/>
        </w:rPr>
        <w:footnoteRef/>
      </w:r>
      <w:r>
        <w:rPr/>
        <w:t xml:space="preserve"> </w:t>
      </w:r>
      <w:r>
        <w:rPr/>
        <w:t>CMTA Comments at 6.</w:t>
      </w:r>
    </w:p>
  </w:footnote>
  <w:footnote w:id="31">
    <w:p>
      <w:pPr>
        <w:pStyle w:val="FootnoteText"/>
        <w:rPr/>
      </w:pPr>
      <w:r>
        <w:rPr>
          <w:rStyle w:val="FootnoteCharacters"/>
        </w:rPr>
        <w:footnoteRef/>
      </w:r>
      <w:r>
        <w:rPr/>
        <w:t xml:space="preserve"> </w:t>
      </w:r>
      <w:r>
        <w:rPr>
          <w:i/>
          <w:iCs/>
        </w:rPr>
        <w:t>Id.</w:t>
      </w:r>
    </w:p>
  </w:footnote>
  <w:footnote w:id="32">
    <w:p>
      <w:pPr>
        <w:pStyle w:val="FootnoteText"/>
        <w:rPr/>
      </w:pPr>
      <w:r>
        <w:rPr>
          <w:rStyle w:val="FootnoteCharacters"/>
        </w:rPr>
        <w:footnoteRef/>
      </w:r>
      <w:r>
        <w:rPr/>
        <w:t xml:space="preserve"> </w:t>
      </w:r>
      <w:r>
        <w:rPr/>
        <w:t>EPUC Comments, at 11.</w:t>
      </w:r>
    </w:p>
  </w:footnote>
  <w:footnote w:id="33">
    <w:p>
      <w:pPr>
        <w:pStyle w:val="FootnoteText"/>
        <w:rPr/>
      </w:pPr>
      <w:r>
        <w:rPr>
          <w:rStyle w:val="FootnoteCharacters"/>
        </w:rPr>
        <w:footnoteRef/>
      </w:r>
      <w:r>
        <w:rPr/>
        <w:t xml:space="preserve"> </w:t>
      </w:r>
      <w:r>
        <w:rPr/>
        <w:t>EPUC Comments at 11-12.</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upperRoman"/>
      <w:lvlText w:val="%1."/>
      <w:lvlJc w:val="start"/>
      <w:pPr>
        <w:tabs>
          <w:tab w:val="num" w:pos="720"/>
        </w:tabs>
        <w:ind w:start="720" w:hanging="720"/>
      </w:pPr>
      <w:rPr/>
    </w:lvl>
  </w:abstractNum>
  <w:abstractNum w:abstractNumId="13">
    <w:lvl w:ilvl="0">
      <w:start w:val="1"/>
      <w:numFmt w:val="upperLetter"/>
      <w:lvlText w:val="%1."/>
      <w:lvlJc w:val="start"/>
      <w:pPr>
        <w:tabs>
          <w:tab w:val="num" w:pos="720"/>
        </w:tabs>
        <w:ind w:start="720" w:hanging="720"/>
      </w:pPr>
      <w:rPr>
        <w:i w:val="false"/>
        <w:b/>
      </w:rPr>
    </w:lvl>
    <w:lvl w:ilvl="1">
      <w:start w:val="1"/>
      <w:numFmt w:val="decimal"/>
      <w:lvlText w:val="Section %2."/>
      <w:lvlJc w:val="start"/>
      <w:pPr>
        <w:tabs>
          <w:tab w:val="num" w:pos="1080"/>
        </w:tabs>
        <w:ind w:start="0" w:hanging="0"/>
      </w:pPr>
      <w:rPr/>
    </w:lvl>
    <w:lvl w:ilvl="2">
      <w:start w:val="1"/>
      <w:isLgl/>
      <w:numFmt w:val="decimal"/>
      <w:lvlText w:val="%1.%3"/>
      <w:lvlJc w:val="start"/>
      <w:pPr>
        <w:tabs>
          <w:tab w:val="num" w:pos="1440"/>
        </w:tabs>
        <w:ind w:start="1440" w:hanging="720"/>
      </w:pPr>
      <w:rPr/>
    </w:lvl>
    <w:lvl w:ilvl="3">
      <w:start w:val="1"/>
      <w:numFmt w:val="lowerLetter"/>
      <w:lvlText w:val="(%4)"/>
      <w:lvlJc w:val="start"/>
      <w:pPr>
        <w:tabs>
          <w:tab w:val="num" w:pos="1368"/>
        </w:tabs>
        <w:ind w:start="1368" w:hanging="648"/>
      </w:pPr>
      <w:rPr/>
    </w:lvl>
    <w:lvl w:ilvl="4">
      <w:start w:val="1"/>
      <w:numFmt w:val="decimal"/>
      <w:lvlText w:val="(%5)"/>
      <w:lvlJc w:val="start"/>
      <w:pPr>
        <w:tabs>
          <w:tab w:val="num" w:pos="1872"/>
        </w:tabs>
        <w:ind w:start="1872" w:hanging="792"/>
      </w:pPr>
      <w:rPr/>
    </w:lvl>
    <w:lvl w:ilvl="5">
      <w:start w:val="1"/>
      <w:numFmt w:val="lowerRoman"/>
      <w:lvlText w:val="%6."/>
      <w:lvlJc w:val="start"/>
      <w:pPr>
        <w:tabs>
          <w:tab w:val="num" w:pos="2376"/>
        </w:tabs>
        <w:ind w:start="2376" w:hanging="936"/>
      </w:pPr>
      <w:rPr/>
    </w:lvl>
    <w:lvl w:ilvl="6">
      <w:start w:val="1"/>
      <w:numFmt w:val="decimal"/>
      <w:lvlText w:val="%7."/>
      <w:lvlJc w:val="start"/>
      <w:pPr>
        <w:tabs>
          <w:tab w:val="num" w:pos="2880"/>
        </w:tabs>
        <w:ind w:start="2880" w:hanging="1080"/>
      </w:pPr>
      <w:rPr/>
    </w:lvl>
    <w:lvl w:ilvl="7">
      <w:start w:val="1"/>
      <w:numFmt w:val="upperLetter"/>
      <w:lvlText w:val="%8."/>
      <w:lvlJc w:val="start"/>
      <w:pPr>
        <w:tabs>
          <w:tab w:val="num" w:pos="3384"/>
        </w:tabs>
        <w:ind w:start="3384" w:hanging="1224"/>
      </w:pPr>
      <w:rPr/>
    </w:lvl>
    <w:lvl w:ilvl="8">
      <w:start w:val="1"/>
      <w:numFmt w:val="decimal"/>
      <w:lvlText w:val="%9)"/>
      <w:lvlJc w:val="start"/>
      <w:pPr>
        <w:tabs>
          <w:tab w:val="num" w:pos="3960"/>
        </w:tabs>
        <w:ind w:start="3960" w:hanging="1440"/>
      </w:pPr>
      <w:rPr/>
    </w:lvl>
  </w:abstractNum>
  <w:abstractNum w:abstractNumId="14">
    <w:lvl w:ilvl="0">
      <w:start w:val="5"/>
      <w:numFmt w:val="lowerRoman"/>
      <w:suff w:val="nothing"/>
      <w:lvlText w:val="A(%1)"/>
      <w:lvlJc w:val="center"/>
      <w:pPr>
        <w:tabs>
          <w:tab w:val="num" w:pos="0"/>
        </w:tabs>
        <w:ind w:start="0" w:hanging="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0" w:after="240"/>
      <w:jc w:val="center"/>
      <w:outlineLvl w:val="0"/>
    </w:pPr>
    <w:rPr>
      <w:kern w:val="2"/>
    </w:rPr>
  </w:style>
  <w:style w:type="paragraph" w:styleId="Heading2">
    <w:name w:val="heading 2"/>
    <w:basedOn w:val="Normal"/>
    <w:next w:val="BodyText"/>
    <w:qFormat/>
    <w:pPr>
      <w:keepNext w:val="true"/>
      <w:numPr>
        <w:ilvl w:val="0"/>
        <w:numId w:val="13"/>
      </w:numPr>
      <w:tabs>
        <w:tab w:val="clear" w:pos="720"/>
        <w:tab w:val="left" w:pos="1440" w:leader="none"/>
      </w:tabs>
      <w:spacing w:before="0" w:after="240"/>
      <w:outlineLvl w:val="1"/>
    </w:pPr>
    <w:rPr>
      <w:b/>
    </w:rPr>
  </w:style>
  <w:style w:type="paragraph" w:styleId="Heading3">
    <w:name w:val="heading 3"/>
    <w:basedOn w:val="Normal"/>
    <w:next w:val="BodyText"/>
    <w:qFormat/>
    <w:pPr>
      <w:numPr>
        <w:ilvl w:val="0"/>
        <w:numId w:val="13"/>
      </w:numPr>
      <w:spacing w:before="0" w:after="240"/>
      <w:outlineLvl w:val="2"/>
    </w:pPr>
    <w:rPr/>
  </w:style>
  <w:style w:type="paragraph" w:styleId="Heading4">
    <w:name w:val="heading 4"/>
    <w:basedOn w:val="Normal"/>
    <w:next w:val="BodyText"/>
    <w:qFormat/>
    <w:pPr>
      <w:numPr>
        <w:ilvl w:val="0"/>
        <w:numId w:val="13"/>
      </w:numPr>
      <w:spacing w:before="0" w:after="240"/>
      <w:outlineLvl w:val="3"/>
    </w:pPr>
    <w:rPr/>
  </w:style>
  <w:style w:type="paragraph" w:styleId="Heading5">
    <w:name w:val="heading 5"/>
    <w:basedOn w:val="Normal"/>
    <w:next w:val="BodyText"/>
    <w:qFormat/>
    <w:pPr>
      <w:numPr>
        <w:ilvl w:val="0"/>
        <w:numId w:val="13"/>
      </w:numPr>
      <w:spacing w:before="0" w:after="240"/>
      <w:outlineLvl w:val="4"/>
    </w:pPr>
    <w:rPr/>
  </w:style>
  <w:style w:type="paragraph" w:styleId="Heading6">
    <w:name w:val="heading 6"/>
    <w:basedOn w:val="Normal"/>
    <w:next w:val="BodyText"/>
    <w:qFormat/>
    <w:pPr>
      <w:numPr>
        <w:ilvl w:val="0"/>
        <w:numId w:val="13"/>
      </w:numPr>
      <w:spacing w:before="0" w:after="240"/>
      <w:outlineLvl w:val="5"/>
    </w:pPr>
    <w:rPr/>
  </w:style>
  <w:style w:type="paragraph" w:styleId="Heading7">
    <w:name w:val="heading 7"/>
    <w:basedOn w:val="Normal"/>
    <w:next w:val="BodyText"/>
    <w:qFormat/>
    <w:pPr>
      <w:numPr>
        <w:ilvl w:val="0"/>
        <w:numId w:val="13"/>
      </w:numPr>
      <w:spacing w:before="0" w:after="240"/>
      <w:outlineLvl w:val="6"/>
    </w:pPr>
    <w:rPr/>
  </w:style>
  <w:style w:type="paragraph" w:styleId="Heading8">
    <w:name w:val="heading 8"/>
    <w:basedOn w:val="Normal"/>
    <w:next w:val="BodyText"/>
    <w:qFormat/>
    <w:pPr>
      <w:numPr>
        <w:ilvl w:val="0"/>
        <w:numId w:val="13"/>
      </w:numPr>
      <w:spacing w:before="0" w:after="240"/>
      <w:outlineLvl w:val="7"/>
    </w:pPr>
    <w:rPr/>
  </w:style>
  <w:style w:type="paragraph" w:styleId="Heading9">
    <w:name w:val="heading 9"/>
    <w:basedOn w:val="Normal"/>
    <w:next w:val="BodyText"/>
    <w:qFormat/>
    <w:pPr>
      <w:numPr>
        <w:ilvl w:val="0"/>
        <w:numId w:val="13"/>
      </w:numPr>
      <w:spacing w:before="0" w:after="24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b/>
      <w:i w:val="false"/>
    </w:rPr>
  </w:style>
  <w:style w:type="character" w:styleId="WW8Num13z1">
    <w:name w:val="WW8Num13z1"/>
    <w:qFormat/>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non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Subtitle"/>
    <w:qFormat/>
    <w:pPr>
      <w:spacing w:before="240" w:after="60"/>
      <w:jc w:val="center"/>
      <w:outlineLvl w:val="0"/>
    </w:pPr>
    <w:rPr>
      <w:b/>
      <w:kern w:val="2"/>
      <w:sz w:val="32"/>
    </w:rPr>
  </w:style>
  <w:style w:type="paragraph" w:styleId="BodyText">
    <w:name w:val="Body Text"/>
    <w:basedOn w:val="Normal"/>
    <w:pPr>
      <w:spacing w:lineRule="auto" w:line="480" w:before="0" w:after="240"/>
      <w:ind w:firstLine="720" w:start="0" w:end="0"/>
    </w:pPr>
    <w:rPr/>
  </w:style>
  <w:style w:type="paragraph" w:styleId="List">
    <w:name w:val="List"/>
    <w:basedOn w:val="Normal"/>
    <w:pPr>
      <w:ind w:hanging="360" w:start="360" w:end="0"/>
    </w:pPr>
    <w:rPr>
      <w:sz w:val="24"/>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AddressLine1">
    <w:name w:val="Address Line 1"/>
    <w:basedOn w:val="Normal"/>
    <w:next w:val="Normal"/>
    <w:qFormat/>
    <w:pPr/>
    <w:rPr>
      <w:sz w:val="24"/>
    </w:rPr>
  </w:style>
  <w:style w:type="paragraph" w:styleId="BatesRoman">
    <w:name w:val="BatesRoman"/>
    <w:basedOn w:val="Normal"/>
    <w:next w:val="Normal"/>
    <w:qFormat/>
    <w:pPr>
      <w:numPr>
        <w:ilvl w:val="0"/>
        <w:numId w:val="14"/>
      </w:numPr>
      <w:jc w:val="center"/>
    </w:pPr>
    <w:rPr>
      <w:sz w:val="24"/>
    </w:rPr>
  </w:style>
  <w:style w:type="paragraph" w:styleId="BlockText">
    <w:name w:val="Block Text"/>
    <w:basedOn w:val="Normal"/>
    <w:qFormat/>
    <w:pPr>
      <w:spacing w:before="0" w:after="120"/>
      <w:ind w:hanging="0" w:start="1440" w:end="1440"/>
    </w:pPr>
    <w:rPr>
      <w:sz w:val="24"/>
    </w:rPr>
  </w:style>
  <w:style w:type="paragraph" w:styleId="BodyTextFirstIndent">
    <w:name w:val="Body Text First Indent"/>
    <w:basedOn w:val="Normal"/>
    <w:qFormat/>
    <w:pPr>
      <w:spacing w:before="0" w:after="120"/>
      <w:ind w:firstLine="210" w:start="0" w:end="0"/>
    </w:pPr>
    <w:rPr/>
  </w:style>
  <w:style w:type="paragraph" w:styleId="BodyTextIndent">
    <w:name w:val="Body Text Indent"/>
    <w:basedOn w:val="Normal"/>
    <w:pPr>
      <w:spacing w:before="0" w:after="120"/>
      <w:ind w:hanging="0" w:start="360" w:end="0"/>
    </w:pPr>
    <w:rPr>
      <w:sz w:val="24"/>
    </w:rPr>
  </w:style>
  <w:style w:type="paragraph" w:styleId="BodyTextFirstIndent2">
    <w:name w:val="Body Text First Indent 2"/>
    <w:basedOn w:val="BodyTextIndent"/>
    <w:qFormat/>
    <w:pPr>
      <w:ind w:firstLine="210" w:start="360" w:end="0"/>
    </w:pPr>
    <w:rPr/>
  </w:style>
  <w:style w:type="paragraph" w:styleId="BodyTextIndent2">
    <w:name w:val="Body Text Indent 2"/>
    <w:basedOn w:val="Normal"/>
    <w:qFormat/>
    <w:pPr>
      <w:spacing w:lineRule="auto" w:line="480" w:before="0" w:after="120"/>
      <w:ind w:hanging="0" w:start="360" w:end="0"/>
    </w:pPr>
    <w:rPr>
      <w:sz w:val="24"/>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z w:val="24"/>
    </w:rPr>
  </w:style>
  <w:style w:type="paragraph" w:styleId="CommentText">
    <w:name w:val="Comment Text"/>
    <w:basedOn w:val="Normal"/>
    <w:qFormat/>
    <w:pPr/>
    <w:rPr/>
  </w:style>
  <w:style w:type="paragraph" w:styleId="Date">
    <w:name w:val="Date"/>
    <w:basedOn w:val="Normal"/>
    <w:next w:val="Normal"/>
    <w:qFormat/>
    <w:pPr>
      <w:spacing w:before="360" w:after="720"/>
      <w:ind w:hanging="0" w:start="3600" w:end="0"/>
    </w:pPr>
    <w:rPr>
      <w:sz w:val="24"/>
    </w:rPr>
  </w:style>
  <w:style w:type="paragraph" w:styleId="DocID">
    <w:name w:val="DocID"/>
    <w:basedOn w:val="Normal"/>
    <w:qFormat/>
    <w:pPr/>
    <w:rPr>
      <w:sz w:val="16"/>
    </w:rPr>
  </w:style>
  <w:style w:type="paragraph" w:styleId="DocumentMap">
    <w:name w:val="Document Map"/>
    <w:basedOn w:val="Normal"/>
    <w:qFormat/>
    <w:pPr>
      <w:shd w:fill="000080" w:val="clear"/>
    </w:pPr>
    <w:rPr>
      <w:rFonts w:ascii="Tahoma" w:hAnsi="Tahoma" w:cs="Tahoma"/>
      <w:sz w:val="24"/>
    </w:rPr>
  </w:style>
  <w:style w:type="paragraph" w:styleId="EndnoteText">
    <w:name w:val="endnote text"/>
    <w:basedOn w:val="Normal"/>
    <w:pPr/>
    <w:rPr/>
  </w:style>
  <w:style w:type="paragraph" w:styleId="EnvelopeAddress">
    <w:name w:val="envelope address"/>
    <w:basedOn w:val="Normal"/>
    <w:pPr>
      <w:ind w:hanging="0" w:start="2880" w:end="0"/>
    </w:pPr>
    <w:rPr>
      <w:rFonts w:ascii="Arial" w:hAnsi="Arial" w:cs="Arial"/>
      <w:sz w:val="24"/>
    </w:rPr>
  </w:style>
  <w:style w:type="paragraph" w:styleId="EnvelopeReturn">
    <w:name w:val="envelope return"/>
    <w:basedOn w:val="Normal"/>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 w:val="24"/>
    </w:rPr>
  </w:style>
  <w:style w:type="paragraph" w:styleId="FootnoteText">
    <w:name w:val="footnote text"/>
    <w:basedOn w:val="Normal"/>
    <w:pPr/>
    <w:rPr/>
  </w:style>
  <w:style w:type="paragraph" w:styleId="Header">
    <w:name w:val="header"/>
    <w:basedOn w:val="Normal"/>
    <w:pPr>
      <w:numPr>
        <w:ilvl w:val="0"/>
        <w:numId w:val="12"/>
      </w:numPr>
      <w:spacing w:before="0" w:after="240"/>
      <w:jc w:val="center"/>
    </w:pPr>
    <w:rPr>
      <w:b/>
    </w:rPr>
  </w:style>
  <w:style w:type="paragraph" w:styleId="Index1">
    <w:name w:val="index 1"/>
    <w:basedOn w:val="Normal"/>
    <w:next w:val="Normal"/>
    <w:pPr>
      <w:ind w:hanging="240" w:start="240" w:end="0"/>
    </w:pPr>
    <w:rPr>
      <w:sz w:val="24"/>
    </w:rPr>
  </w:style>
  <w:style w:type="paragraph" w:styleId="Index2">
    <w:name w:val="index 2"/>
    <w:basedOn w:val="Normal"/>
    <w:next w:val="Normal"/>
    <w:pPr>
      <w:ind w:hanging="240" w:start="480" w:end="0"/>
    </w:pPr>
    <w:rPr>
      <w:sz w:val="24"/>
    </w:rPr>
  </w:style>
  <w:style w:type="paragraph" w:styleId="Index3">
    <w:name w:val="index 3"/>
    <w:basedOn w:val="Normal"/>
    <w:next w:val="Normal"/>
    <w:pPr>
      <w:ind w:hanging="240" w:start="720" w:end="0"/>
    </w:pPr>
    <w:rPr>
      <w:sz w:val="24"/>
    </w:rPr>
  </w:style>
  <w:style w:type="paragraph" w:styleId="Index4">
    <w:name w:val="Index 4"/>
    <w:basedOn w:val="Normal"/>
    <w:next w:val="Normal"/>
    <w:qFormat/>
    <w:pPr>
      <w:ind w:hanging="240" w:start="960" w:end="0"/>
    </w:pPr>
    <w:rPr>
      <w:sz w:val="24"/>
    </w:rPr>
  </w:style>
  <w:style w:type="paragraph" w:styleId="Index5">
    <w:name w:val="Index 5"/>
    <w:basedOn w:val="Normal"/>
    <w:next w:val="Normal"/>
    <w:qFormat/>
    <w:pPr>
      <w:ind w:hanging="240" w:start="1200" w:end="0"/>
    </w:pPr>
    <w:rPr>
      <w:sz w:val="24"/>
    </w:rPr>
  </w:style>
  <w:style w:type="paragraph" w:styleId="Index6">
    <w:name w:val="Index 6"/>
    <w:basedOn w:val="Normal"/>
    <w:next w:val="Normal"/>
    <w:qFormat/>
    <w:pPr>
      <w:ind w:hanging="240" w:start="1440" w:end="0"/>
    </w:pPr>
    <w:rPr>
      <w:sz w:val="24"/>
    </w:rPr>
  </w:style>
  <w:style w:type="paragraph" w:styleId="Index7">
    <w:name w:val="Index 7"/>
    <w:basedOn w:val="Normal"/>
    <w:next w:val="Normal"/>
    <w:qFormat/>
    <w:pPr>
      <w:ind w:hanging="240" w:start="1680" w:end="0"/>
    </w:pPr>
    <w:rPr>
      <w:sz w:val="24"/>
    </w:rPr>
  </w:style>
  <w:style w:type="paragraph" w:styleId="Index8">
    <w:name w:val="Index 8"/>
    <w:basedOn w:val="Normal"/>
    <w:next w:val="Normal"/>
    <w:qFormat/>
    <w:pPr>
      <w:ind w:hanging="240" w:start="1920" w:end="0"/>
    </w:pPr>
    <w:rPr>
      <w:sz w:val="24"/>
    </w:rPr>
  </w:style>
  <w:style w:type="paragraph" w:styleId="Index9">
    <w:name w:val="Index 9"/>
    <w:basedOn w:val="Normal"/>
    <w:next w:val="Normal"/>
    <w:qFormat/>
    <w:pPr>
      <w:ind w:hanging="240" w:start="2160" w:end="0"/>
    </w:pPr>
    <w:rPr>
      <w:sz w:val="24"/>
    </w:rPr>
  </w:style>
  <w:style w:type="paragraph" w:styleId="IndexHeading">
    <w:name w:val="index heading"/>
    <w:basedOn w:val="Normal"/>
    <w:next w:val="Index1"/>
    <w:pPr/>
    <w:rPr>
      <w:b/>
      <w:sz w:val="24"/>
    </w:rPr>
  </w:style>
  <w:style w:type="paragraph" w:styleId="Letterhead">
    <w:name w:val="Letterhead"/>
    <w:basedOn w:val="Normal"/>
    <w:qFormat/>
    <w:pPr>
      <w:tabs>
        <w:tab w:val="clear" w:pos="720"/>
        <w:tab w:val="left" w:pos="6336" w:leader="none"/>
      </w:tabs>
      <w:ind w:hanging="0" w:start="4838" w:end="0"/>
    </w:pPr>
    <w:rPr>
      <w:rFonts w:ascii="Arial" w:hAnsi="Arial" w:cs="Arial"/>
      <w:sz w:val="14"/>
    </w:rPr>
  </w:style>
  <w:style w:type="paragraph" w:styleId="ListBullet2">
    <w:name w:val="List Bullet 2"/>
    <w:basedOn w:val="Normal"/>
    <w:pPr>
      <w:ind w:hanging="360" w:start="720" w:end="0"/>
    </w:pPr>
    <w:rPr>
      <w:sz w:val="24"/>
    </w:rPr>
  </w:style>
  <w:style w:type="paragraph" w:styleId="ListBullet3">
    <w:name w:val="List Bullet 3"/>
    <w:basedOn w:val="Normal"/>
    <w:pPr>
      <w:ind w:hanging="360" w:start="1080" w:end="0"/>
    </w:pPr>
    <w:rPr>
      <w:sz w:val="24"/>
    </w:rPr>
  </w:style>
  <w:style w:type="paragraph" w:styleId="ListBullet4">
    <w:name w:val="List Bullet 4"/>
    <w:basedOn w:val="Normal"/>
    <w:pPr>
      <w:ind w:hanging="360" w:start="1440" w:end="0"/>
    </w:pPr>
    <w:rPr>
      <w:sz w:val="24"/>
    </w:rPr>
  </w:style>
  <w:style w:type="paragraph" w:styleId="ListBullet5">
    <w:name w:val="List Bullet 5"/>
    <w:basedOn w:val="Normal"/>
    <w:pPr>
      <w:ind w:hanging="360" w:start="1800" w:end="0"/>
    </w:pPr>
    <w:rPr>
      <w:sz w:val="24"/>
    </w:rPr>
  </w:style>
  <w:style w:type="paragraph" w:styleId="ListBullet">
    <w:name w:val="List Bullet"/>
    <w:basedOn w:val="Normal"/>
    <w:qFormat/>
    <w:pPr>
      <w:numPr>
        <w:ilvl w:val="0"/>
        <w:numId w:val="11"/>
      </w:numPr>
    </w:pPr>
    <w:rPr>
      <w:sz w:val="24"/>
    </w:rPr>
  </w:style>
  <w:style w:type="paragraph" w:styleId="ListBullet21">
    <w:name w:val="List Bullet 21"/>
    <w:basedOn w:val="Normal"/>
    <w:qFormat/>
    <w:pPr>
      <w:numPr>
        <w:ilvl w:val="0"/>
        <w:numId w:val="9"/>
      </w:numPr>
    </w:pPr>
    <w:rPr>
      <w:sz w:val="24"/>
    </w:rPr>
  </w:style>
  <w:style w:type="paragraph" w:styleId="ListBullet31">
    <w:name w:val="List Bullet 31"/>
    <w:basedOn w:val="Normal"/>
    <w:qFormat/>
    <w:pPr>
      <w:numPr>
        <w:ilvl w:val="0"/>
        <w:numId w:val="8"/>
      </w:numPr>
    </w:pPr>
    <w:rPr>
      <w:sz w:val="24"/>
    </w:rPr>
  </w:style>
  <w:style w:type="paragraph" w:styleId="ListBullet41">
    <w:name w:val="List Bullet 41"/>
    <w:basedOn w:val="Normal"/>
    <w:qFormat/>
    <w:pPr>
      <w:numPr>
        <w:ilvl w:val="0"/>
        <w:numId w:val="7"/>
      </w:numPr>
    </w:pPr>
    <w:rPr>
      <w:sz w:val="24"/>
    </w:rPr>
  </w:style>
  <w:style w:type="paragraph" w:styleId="ListBullet51">
    <w:name w:val="List Bullet 51"/>
    <w:basedOn w:val="Normal"/>
    <w:qFormat/>
    <w:pPr>
      <w:numPr>
        <w:ilvl w:val="0"/>
        <w:numId w:val="6"/>
      </w:numPr>
    </w:pPr>
    <w:rPr>
      <w:sz w:val="24"/>
    </w:rPr>
  </w:style>
  <w:style w:type="paragraph" w:styleId="ListContinue">
    <w:name w:val="List Continue"/>
    <w:basedOn w:val="Normal"/>
    <w:qFormat/>
    <w:pPr>
      <w:spacing w:before="0" w:after="120"/>
      <w:ind w:hanging="0" w:start="360" w:end="0"/>
    </w:pPr>
    <w:rPr>
      <w:sz w:val="24"/>
    </w:rPr>
  </w:style>
  <w:style w:type="paragraph" w:styleId="ListContinue2">
    <w:name w:val="List Continue 2"/>
    <w:basedOn w:val="Normal"/>
    <w:qFormat/>
    <w:pPr>
      <w:spacing w:before="0" w:after="120"/>
      <w:ind w:hanging="0" w:start="720" w:end="0"/>
    </w:pPr>
    <w:rPr>
      <w:sz w:val="24"/>
    </w:rPr>
  </w:style>
  <w:style w:type="paragraph" w:styleId="ListContinue3">
    <w:name w:val="List Continue 3"/>
    <w:basedOn w:val="Normal"/>
    <w:qFormat/>
    <w:pPr>
      <w:spacing w:before="0" w:after="120"/>
      <w:ind w:hanging="0" w:start="1080" w:end="0"/>
    </w:pPr>
    <w:rPr>
      <w:sz w:val="24"/>
    </w:rPr>
  </w:style>
  <w:style w:type="paragraph" w:styleId="ListContinue4">
    <w:name w:val="List Continue 4"/>
    <w:basedOn w:val="Normal"/>
    <w:qFormat/>
    <w:pPr>
      <w:spacing w:before="0" w:after="120"/>
      <w:ind w:hanging="0" w:start="1440" w:end="0"/>
    </w:pPr>
    <w:rPr>
      <w:sz w:val="24"/>
    </w:rPr>
  </w:style>
  <w:style w:type="paragraph" w:styleId="ListContinue5">
    <w:name w:val="List Continue 5"/>
    <w:basedOn w:val="Normal"/>
    <w:qFormat/>
    <w:pPr>
      <w:spacing w:before="0" w:after="120"/>
      <w:ind w:hanging="0" w:start="1800" w:end="0"/>
    </w:pPr>
    <w:rPr>
      <w:sz w:val="24"/>
    </w:rPr>
  </w:style>
  <w:style w:type="paragraph" w:styleId="ListNumber">
    <w:name w:val="List Number"/>
    <w:basedOn w:val="Normal"/>
    <w:qFormat/>
    <w:pPr>
      <w:numPr>
        <w:ilvl w:val="0"/>
        <w:numId w:val="10"/>
      </w:numPr>
    </w:pPr>
    <w:rPr>
      <w:sz w:val="24"/>
    </w:rPr>
  </w:style>
  <w:style w:type="paragraph" w:styleId="ListNumber2">
    <w:name w:val="List Number 2"/>
    <w:basedOn w:val="Normal"/>
    <w:qFormat/>
    <w:pPr>
      <w:numPr>
        <w:ilvl w:val="0"/>
        <w:numId w:val="5"/>
      </w:numPr>
    </w:pPr>
    <w:rPr>
      <w:sz w:val="24"/>
    </w:rPr>
  </w:style>
  <w:style w:type="paragraph" w:styleId="ListNumber3">
    <w:name w:val="List Number 3"/>
    <w:basedOn w:val="Normal"/>
    <w:qFormat/>
    <w:pPr>
      <w:numPr>
        <w:ilvl w:val="0"/>
        <w:numId w:val="4"/>
      </w:numPr>
    </w:pPr>
    <w:rPr>
      <w:sz w:val="24"/>
    </w:rPr>
  </w:style>
  <w:style w:type="paragraph" w:styleId="ListNumber4">
    <w:name w:val="List Number 4"/>
    <w:basedOn w:val="Normal"/>
    <w:qFormat/>
    <w:pPr>
      <w:numPr>
        <w:ilvl w:val="0"/>
        <w:numId w:val="3"/>
      </w:numPr>
    </w:pPr>
    <w:rPr>
      <w:sz w:val="24"/>
    </w:rPr>
  </w:style>
  <w:style w:type="paragraph" w:styleId="ListNumber5">
    <w:name w:val="List Number 5"/>
    <w:basedOn w:val="Normal"/>
    <w:qFormat/>
    <w:pPr>
      <w:numPr>
        <w:ilvl w:val="0"/>
        <w:numId w:val="2"/>
      </w:numPr>
    </w:pPr>
    <w:rPr>
      <w:sz w:val="24"/>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spacing w:before="240" w:after="240"/>
    </w:pPr>
    <w:rPr/>
  </w:style>
  <w:style w:type="paragraph" w:styleId="Signature">
    <w:name w:val="Signature"/>
    <w:basedOn w:val="Normal"/>
    <w:pPr>
      <w:ind w:hanging="0" w:start="4320" w:end="0"/>
    </w:pPr>
    <w:rPr/>
  </w:style>
  <w:style w:type="paragraph" w:styleId="Subtitle">
    <w:name w:val="Subtitle"/>
    <w:basedOn w:val="Normal"/>
    <w:next w:val="Normal"/>
    <w:qFormat/>
    <w:pPr>
      <w:spacing w:before="0" w:after="60"/>
      <w:jc w:val="center"/>
      <w:outlineLvl w:val="1"/>
    </w:pPr>
    <w:rPr>
      <w:sz w:val="28"/>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VIA">
    <w:name w:val="VIA"/>
    <w:basedOn w:val="Normal"/>
    <w:next w:val="Normal"/>
    <w:qFormat/>
    <w:pPr/>
    <w:rPr>
      <w:b/>
      <w:smallCaps/>
      <w:u w:val="single"/>
    </w:rPr>
  </w:style>
  <w:style w:type="paragraph" w:styleId="BodyText2">
    <w:name w:val="Body Text 2"/>
    <w:basedOn w:val="BodyText"/>
    <w:qFormat/>
    <w:pPr>
      <w:ind w:firstLine="1440" w:start="0" w:end="0"/>
    </w:pPr>
    <w:rPr/>
  </w:style>
  <w:style w:type="paragraph" w:styleId="BodyText3">
    <w:name w:val="Body Text 3"/>
    <w:basedOn w:val="BodyText"/>
    <w:qFormat/>
    <w:pPr>
      <w:ind w:firstLine="2160" w:start="0" w:end="0"/>
    </w:pPr>
    <w:rPr/>
  </w:style>
  <w:style w:type="paragraph" w:styleId="BodyText4">
    <w:name w:val="Body Text 4"/>
    <w:basedOn w:val="BodyText"/>
    <w:qFormat/>
    <w:pPr>
      <w:ind w:firstLine="2880" w:start="0" w:end="0"/>
    </w:pPr>
    <w:rPr/>
  </w:style>
  <w:style w:type="paragraph" w:styleId="BodyText5">
    <w:name w:val="Body Text 5"/>
    <w:basedOn w:val="BodyText"/>
    <w:qFormat/>
    <w:pPr>
      <w:ind w:firstLine="3600" w:start="0" w:end="0"/>
    </w:pPr>
    <w:rPr/>
  </w:style>
  <w:style w:type="paragraph" w:styleId="BodyText6">
    <w:name w:val="Body Text 6"/>
    <w:basedOn w:val="BodyText"/>
    <w:qFormat/>
    <w:pPr>
      <w:ind w:firstLine="4320" w:start="0" w:end="0"/>
    </w:pPr>
    <w:rPr/>
  </w:style>
  <w:style w:type="paragraph" w:styleId="BodyText7">
    <w:name w:val="Body Text 7"/>
    <w:basedOn w:val="BodyText"/>
    <w:qFormat/>
    <w:pPr>
      <w:ind w:firstLine="5040" w:start="0" w:end="0"/>
    </w:pPr>
    <w:rPr/>
  </w:style>
  <w:style w:type="paragraph" w:styleId="BodyText8">
    <w:name w:val="Body Text 8"/>
    <w:basedOn w:val="BodyText"/>
    <w:qFormat/>
    <w:pPr>
      <w:ind w:firstLine="5760" w:start="0" w:end="0"/>
    </w:pPr>
    <w:rPr/>
  </w:style>
  <w:style w:type="paragraph" w:styleId="BodyText9">
    <w:name w:val="Body Text 9"/>
    <w:basedOn w:val="BodyText"/>
    <w:qFormat/>
    <w:pPr>
      <w:ind w:firstLine="648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2000-11-09T14:55:00Z</dcterms:created>
  <dc:creator>Aearly</dc:creator>
  <dc:description/>
  <dc:language>en-CA</dc:language>
  <cp:lastModifiedBy>Jody Smith</cp:lastModifiedBy>
  <cp:lastPrinted>2000-11-17T12:57:00Z</cp:lastPrinted>
  <dcterms:modified xsi:type="dcterms:W3CDTF">2000-11-17T15:27:00Z</dcterms:modified>
  <cp:revision>51</cp:revision>
  <dc:subject/>
  <dc:title>PROTEST OF THE CALIFORNIA MANUFACTURERS &amp; </dc:title>
</cp:coreProperties>
</file>