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40" w:type="dxa"/>
        <w:jc w:val="start"/>
        <w:tblInd w:w="108" w:type="dxa"/>
        <w:tblLayout w:type="fixed"/>
        <w:tblCellMar>
          <w:top w:w="0" w:type="dxa"/>
          <w:start w:w="108" w:type="dxa"/>
          <w:bottom w:w="0" w:type="dxa"/>
          <w:end w:w="108" w:type="dxa"/>
        </w:tblCellMar>
      </w:tblPr>
      <w:tblGrid>
        <w:gridCol w:w="1350"/>
        <w:gridCol w:w="9990"/>
      </w:tblGrid>
      <w:tr>
        <w:trPr/>
        <w:tc>
          <w:tcPr>
            <w:tcW w:w="1350" w:type="dxa"/>
            <w:tcBorders/>
          </w:tcPr>
          <w:p>
            <w:pPr>
              <w:pStyle w:val="Outline2"/>
              <w:widowControl w:val="false"/>
              <w:snapToGrid w:val="false"/>
              <w:rPr>
                <w:sz w:val="16"/>
              </w:rPr>
            </w:pPr>
            <w:r>
              <w:rPr>
                <w:sz w:val="16"/>
              </w:rPr>
            </w:r>
          </w:p>
          <w:p>
            <w:pPr>
              <w:pStyle w:val="Normal"/>
              <w:widowControl w:val="false"/>
              <w:rPr>
                <w:sz w:val="16"/>
              </w:rPr>
            </w:pPr>
            <w:r>
              <w:rPr/>
              <w:drawing>
                <wp:inline distT="0" distB="0" distL="0" distR="0">
                  <wp:extent cx="755015" cy="7588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5015" cy="758825"/>
                          </a:xfrm>
                          <a:prstGeom prst="rect">
                            <a:avLst/>
                          </a:prstGeom>
                          <a:noFill/>
                        </pic:spPr>
                      </pic:pic>
                    </a:graphicData>
                  </a:graphic>
                </wp:inline>
              </w:drawing>
            </w:r>
          </w:p>
        </w:tc>
        <w:tc>
          <w:tcPr>
            <w:tcW w:w="9990" w:type="dxa"/>
            <w:tcBorders/>
          </w:tcPr>
          <w:p>
            <w:pPr>
              <w:pStyle w:val="Normal"/>
              <w:widowControl w:val="false"/>
              <w:jc w:val="center"/>
              <w:rPr>
                <w:b/>
                <w:sz w:val="16"/>
              </w:rPr>
            </w:pPr>
            <w:bookmarkStart w:id="0" w:name="_DV_M0"/>
            <w:bookmarkEnd w:id="0"/>
            <w:r>
              <w:rPr>
                <w:b/>
                <w:sz w:val="16"/>
              </w:rPr>
              <w:t>ENRON DIRECT USA</w:t>
            </w:r>
            <w:r>
              <w:rPr>
                <w:b/>
                <w:position w:val="6"/>
                <w:sz w:val="12"/>
              </w:rPr>
              <w:t>SM</w:t>
            </w:r>
          </w:p>
          <w:p>
            <w:pPr>
              <w:pStyle w:val="Heading1"/>
              <w:keepNext w:val="false"/>
              <w:widowControl w:val="false"/>
              <w:spacing w:before="20" w:after="20"/>
              <w:ind w:hanging="0" w:start="0"/>
              <w:rPr>
                <w:rFonts w:ascii="Times New Roman" w:hAnsi="Times New Roman" w:cs="Times New Roman"/>
                <w:sz w:val="16"/>
              </w:rPr>
            </w:pPr>
            <w:bookmarkStart w:id="1" w:name="_DV_M1"/>
            <w:bookmarkEnd w:id="1"/>
            <w:r>
              <w:rPr>
                <w:rFonts w:cs="Times New Roman" w:ascii="Times New Roman" w:hAnsi="Times New Roman"/>
                <w:sz w:val="16"/>
              </w:rPr>
              <w:t>ELECTRIC ENERGY SALES AGREEMENT</w:t>
            </w:r>
          </w:p>
          <w:p>
            <w:pPr>
              <w:pStyle w:val="Heading1"/>
              <w:keepNext w:val="false"/>
              <w:widowControl w:val="false"/>
              <w:ind w:hanging="0" w:start="0"/>
              <w:rPr>
                <w:rFonts w:ascii="Times New Roman" w:hAnsi="Times New Roman" w:cs="Times New Roman"/>
                <w:smallCaps/>
                <w:sz w:val="16"/>
              </w:rPr>
            </w:pPr>
            <w:bookmarkStart w:id="2" w:name="_DV_M2"/>
            <w:bookmarkEnd w:id="2"/>
            <w:r>
              <w:rPr>
                <w:rFonts w:cs="Times New Roman" w:ascii="Times New Roman" w:hAnsi="Times New Roman"/>
                <w:smallCaps/>
                <w:sz w:val="16"/>
              </w:rPr>
              <w:t>Aggregate Annual Limit Of 2,500,000 kwh (Commercial Customer)</w:t>
            </w:r>
          </w:p>
          <w:p>
            <w:pPr>
              <w:pStyle w:val="Normal"/>
              <w:widowControl w:val="false"/>
              <w:jc w:val="both"/>
              <w:rPr/>
            </w:pPr>
            <w:bookmarkStart w:id="3" w:name="_DV_M3"/>
            <w:bookmarkEnd w:id="3"/>
            <w:r>
              <w:rPr>
                <w:sz w:val="16"/>
              </w:rPr>
              <w:t>This Electric Energy Sales Agreement, including the defined terms and GTCs on the reverse, ("</w:t>
            </w:r>
            <w:r>
              <w:rPr>
                <w:sz w:val="16"/>
                <w:u w:val="single"/>
              </w:rPr>
              <w:t>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1400 Smith Street (77002), P. O. Box 4428, Houston, Texas 77210-4428 Attn:  Deal Capture, fax: 713-646-2621 (our address for notices) and __________________________________________________________________________, a _________________________ </w:t>
            </w:r>
            <w:r>
              <w:fldChar w:fldCharType="begin">
                <w:ffData>
                  <w:name w:val="_DV_M4"/>
                  <w:enabled/>
                  <w:calcOnExit w:val="0"/>
                  <w:checkBox>
                    <w:sizeAuto/>
                  </w:checkBox>
                </w:ffData>
              </w:fldChar>
            </w:r>
            <w:r>
              <w:rPr>
                <w:sz w:val="16"/>
              </w:rPr>
              <w:instrText xml:space="preserve"> FORMCHECKBOX </w:instrText>
            </w:r>
            <w:r>
              <w:rPr>
                <w:sz w:val="16"/>
              </w:rPr>
              <w:fldChar w:fldCharType="separate"/>
            </w:r>
            <w:bookmarkStart w:id="4" w:name="_DV_M4"/>
            <w:bookmarkStart w:id="5" w:name="_DV_M4"/>
            <w:bookmarkEnd w:id="5"/>
            <w:r>
              <w:rPr>
                <w:sz w:val="16"/>
              </w:rPr>
            </w:r>
            <w:r>
              <w:rPr>
                <w:sz w:val="16"/>
              </w:rPr>
              <w:fldChar w:fldCharType="end"/>
            </w:r>
            <w:r>
              <w:rPr>
                <w:sz w:val="16"/>
              </w:rPr>
              <w:t xml:space="preserve"> Corporation, </w:t>
            </w:r>
            <w:r>
              <w:fldChar w:fldCharType="begin">
                <w:ffData>
                  <w:name w:val="Check54"/>
                  <w:enabled/>
                  <w:calcOnExit w:val="0"/>
                  <w:checkBox>
                    <w:sizeAuto/>
                  </w:checkBox>
                </w:ffData>
              </w:fldChar>
            </w:r>
            <w:r>
              <w:rPr>
                <w:sz w:val="16"/>
              </w:rPr>
              <w:instrText xml:space="preserve"> FORMCHECKBOX </w:instrText>
            </w:r>
            <w:r>
              <w:rPr>
                <w:sz w:val="16"/>
              </w:rPr>
              <w:fldChar w:fldCharType="separate"/>
            </w:r>
            <w:bookmarkStart w:id="6" w:name="Check54"/>
            <w:bookmarkStart w:id="7" w:name="Check54"/>
            <w:bookmarkEnd w:id="7"/>
            <w:r>
              <w:rPr>
                <w:sz w:val="16"/>
              </w:rPr>
            </w:r>
            <w:r>
              <w:rPr>
                <w:sz w:val="16"/>
              </w:rPr>
              <w:fldChar w:fldCharType="end"/>
            </w:r>
            <w:bookmarkStart w:id="8" w:name="_DV_M5"/>
            <w:bookmarkEnd w:id="8"/>
            <w:r>
              <w:rPr>
                <w:sz w:val="16"/>
              </w:rPr>
              <w:t xml:space="preserve"> Non-Profit Corporation, </w:t>
            </w:r>
            <w:r>
              <w:fldChar w:fldCharType="begin">
                <w:ffData>
                  <w:name w:val="Check55"/>
                  <w:enabled/>
                  <w:calcOnExit w:val="0"/>
                  <w:checkBox>
                    <w:sizeAuto/>
                  </w:checkBox>
                </w:ffData>
              </w:fldChar>
            </w:r>
            <w:r>
              <w:rPr>
                <w:sz w:val="16"/>
              </w:rPr>
              <w:instrText xml:space="preserve"> FORMCHECKBOX </w:instrText>
            </w:r>
            <w:r>
              <w:rPr>
                <w:sz w:val="16"/>
              </w:rPr>
              <w:fldChar w:fldCharType="separate"/>
            </w:r>
            <w:bookmarkStart w:id="9" w:name="Check55"/>
            <w:bookmarkStart w:id="10" w:name="Check55"/>
            <w:bookmarkEnd w:id="10"/>
            <w:r>
              <w:rPr>
                <w:sz w:val="16"/>
              </w:rPr>
            </w:r>
            <w:r>
              <w:rPr>
                <w:sz w:val="16"/>
              </w:rPr>
              <w:fldChar w:fldCharType="end"/>
            </w:r>
            <w:bookmarkStart w:id="11" w:name="_DV_M6"/>
            <w:bookmarkEnd w:id="11"/>
            <w:r>
              <w:rPr>
                <w:sz w:val="16"/>
              </w:rPr>
              <w:t xml:space="preserve"> General Partnership </w:t>
            </w:r>
            <w:r>
              <w:fldChar w:fldCharType="begin">
                <w:ffData>
                  <w:name w:val="Check56"/>
                  <w:enabled/>
                  <w:calcOnExit w:val="0"/>
                  <w:checkBox>
                    <w:sizeAuto/>
                  </w:checkBox>
                </w:ffData>
              </w:fldChar>
            </w:r>
            <w:r>
              <w:rPr>
                <w:sz w:val="16"/>
              </w:rPr>
              <w:instrText xml:space="preserve"> FORMCHECKBOX </w:instrText>
            </w:r>
            <w:r>
              <w:rPr>
                <w:sz w:val="16"/>
              </w:rPr>
              <w:fldChar w:fldCharType="separate"/>
            </w:r>
            <w:bookmarkStart w:id="12" w:name="Check56"/>
            <w:bookmarkStart w:id="13" w:name="Check56"/>
            <w:bookmarkEnd w:id="13"/>
            <w:r>
              <w:rPr>
                <w:sz w:val="16"/>
              </w:rPr>
            </w:r>
            <w:r>
              <w:rPr>
                <w:sz w:val="16"/>
              </w:rPr>
              <w:fldChar w:fldCharType="end"/>
            </w:r>
            <w:bookmarkStart w:id="14" w:name="_DV_M7"/>
            <w:bookmarkEnd w:id="14"/>
            <w:r>
              <w:rPr>
                <w:sz w:val="16"/>
              </w:rPr>
              <w:t xml:space="preserve"> Ltd. Partnership, </w:t>
            </w:r>
            <w:r>
              <w:fldChar w:fldCharType="begin">
                <w:ffData>
                  <w:name w:val="Check57"/>
                  <w:enabled/>
                  <w:calcOnExit w:val="0"/>
                  <w:checkBox>
                    <w:sizeAuto/>
                  </w:checkBox>
                </w:ffData>
              </w:fldChar>
            </w:r>
            <w:r>
              <w:rPr>
                <w:sz w:val="16"/>
              </w:rPr>
              <w:instrText xml:space="preserve"> FORMCHECKBOX </w:instrText>
            </w:r>
            <w:r>
              <w:rPr>
                <w:sz w:val="16"/>
              </w:rPr>
              <w:fldChar w:fldCharType="separate"/>
            </w:r>
            <w:bookmarkStart w:id="15" w:name="Check57"/>
            <w:bookmarkStart w:id="16" w:name="Check57"/>
            <w:bookmarkEnd w:id="16"/>
            <w:r>
              <w:rPr>
                <w:sz w:val="16"/>
              </w:rPr>
            </w:r>
            <w:r>
              <w:rPr>
                <w:sz w:val="16"/>
              </w:rPr>
              <w:fldChar w:fldCharType="end"/>
            </w:r>
            <w:bookmarkStart w:id="17" w:name="_DV_M8"/>
            <w:bookmarkEnd w:id="17"/>
            <w:r>
              <w:rPr>
                <w:sz w:val="16"/>
              </w:rPr>
              <w:t xml:space="preserve"> Sole Proprietor, </w:t>
            </w:r>
            <w:r>
              <w:fldChar w:fldCharType="begin">
                <w:ffData>
                  <w:name w:val="_DV_M9"/>
                  <w:enabled/>
                  <w:calcOnExit w:val="0"/>
                  <w:checkBox>
                    <w:sizeAuto/>
                  </w:checkBox>
                </w:ffData>
              </w:fldChar>
            </w:r>
            <w:r>
              <w:rPr>
                <w:sz w:val="16"/>
              </w:rPr>
              <w:instrText xml:space="preserve"> FORMCHECKBOX </w:instrText>
            </w:r>
            <w:r>
              <w:rPr>
                <w:sz w:val="16"/>
              </w:rPr>
              <w:fldChar w:fldCharType="separate"/>
            </w:r>
            <w:bookmarkStart w:id="18" w:name="_DV_M9"/>
            <w:bookmarkStart w:id="19" w:name="_DV_M9"/>
            <w:bookmarkEnd w:id="19"/>
            <w:r>
              <w:rPr>
                <w:sz w:val="16"/>
              </w:rPr>
            </w:r>
            <w:r>
              <w:rPr>
                <w:sz w:val="16"/>
              </w:rPr>
              <w:fldChar w:fldCharType="end"/>
            </w:r>
            <w:r>
              <w:rPr>
                <w:sz w:val="16"/>
              </w:rPr>
              <w:t xml:space="preserve"> LLC  (</w:t>
            </w:r>
            <w:r>
              <w:rPr>
                <w:b/>
                <w:i/>
                <w:sz w:val="16"/>
              </w:rPr>
              <w:t>check one</w:t>
            </w:r>
            <w:r>
              <w:rPr>
                <w:sz w:val="16"/>
              </w:rPr>
              <w:t xml:space="preserve">) (D&amp;B# </w:t>
            </w:r>
            <w:r>
              <w:rPr>
                <w:sz w:val="16"/>
                <w:u w:val="single"/>
              </w:rPr>
              <w:tab/>
              <w:tab/>
              <w:tab/>
            </w:r>
            <w:r>
              <w:rPr>
                <w:sz w:val="16"/>
              </w:rPr>
              <w:t>)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and is effective as of the day next to your signature (the "</w:t>
            </w:r>
            <w:r>
              <w:rPr>
                <w:sz w:val="16"/>
                <w:u w:val="single"/>
              </w:rPr>
              <w:t>Effective Date</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refer to Customer.  Other terms are defined in the Definitions Section or where they appear.</w:t>
            </w:r>
          </w:p>
        </w:tc>
      </w:tr>
      <w:tr>
        <w:trPr/>
        <w:tc>
          <w:tcPr>
            <w:tcW w:w="11340" w:type="dxa"/>
            <w:gridSpan w:val="2"/>
            <w:tcBorders/>
          </w:tcPr>
          <w:p>
            <w:pPr>
              <w:pStyle w:val="Normal"/>
              <w:widowControl w:val="false"/>
              <w:snapToGrid w:val="false"/>
              <w:ind w:start="360" w:end="0"/>
              <w:jc w:val="both"/>
              <w:rPr>
                <w:sz w:val="24"/>
              </w:rPr>
            </w:pPr>
            <w:r>
              <w:rPr>
                <w:sz w:val="24"/>
              </w:rPr>
            </w:r>
          </w:p>
        </w:tc>
      </w:tr>
      <w:tr>
        <w:trPr/>
        <w:tc>
          <w:tcPr>
            <w:tcW w:w="11340" w:type="dxa"/>
            <w:gridSpan w:val="2"/>
            <w:tcBorders/>
            <w:shd w:fill="333333" w:val="clear"/>
          </w:tcPr>
          <w:p>
            <w:pPr>
              <w:pStyle w:val="Normal"/>
              <w:widowControl w:val="false"/>
              <w:ind w:start="360" w:end="0"/>
              <w:jc w:val="both"/>
              <w:rPr>
                <w:b/>
                <w:smallCaps/>
                <w:sz w:val="16"/>
              </w:rPr>
            </w:pPr>
            <w:r>
              <w:rPr>
                <w:b/>
                <w:smallCaps/>
                <w:sz w:val="16"/>
              </w:rPr>
              <w:t>SECTION 1. BASIC TERMS AND CONDITIONS</w:t>
            </w:r>
          </w:p>
        </w:tc>
      </w:tr>
    </w:tbl>
    <w:p>
      <w:pPr>
        <w:pStyle w:val="Normal"/>
        <w:widowControl w:val="false"/>
        <w:ind w:start="14" w:end="0"/>
        <w:jc w:val="both"/>
        <w:rPr>
          <w:i/>
          <w:i/>
          <w:sz w:val="16"/>
        </w:rPr>
      </w:pPr>
      <w:bookmarkStart w:id="20" w:name="_DV_M10"/>
      <w:bookmarkEnd w:id="20"/>
      <w:r>
        <w:rPr>
          <w:b/>
          <w:i/>
          <w:sz w:val="16"/>
        </w:rPr>
        <w:t xml:space="preserve">1.1  </w:t>
      </w:r>
      <w:r>
        <w:rPr>
          <w:b/>
          <w:i/>
          <w:sz w:val="16"/>
          <w:u w:val="single"/>
        </w:rPr>
        <w:t>Scope</w:t>
      </w:r>
      <w:r>
        <w:rPr>
          <w:b/>
          <w:i/>
          <w:sz w:val="16"/>
        </w:rPr>
        <w:t>.</w:t>
      </w:r>
      <w:r>
        <w:rPr>
          <w:i/>
          <w:sz w:val="16"/>
        </w:rPr>
        <w:t xml:space="preserve">  Subject to satisfaction of the conditions set forth in Section 3, we will provide the full energy requirements of the location identified below (the "</w:t>
      </w:r>
      <w:r>
        <w:rPr>
          <w:i/>
          <w:sz w:val="16"/>
          <w:u w:val="single"/>
        </w:rPr>
        <w:t>Facility</w:t>
      </w:r>
      <w:r>
        <w:rPr>
          <w:i/>
          <w:sz w:val="16"/>
        </w:rPr>
        <w:t>") as provided in this Agreement and in accordance with applicable Law and Rules.  You will obtain the full energy requirements of the Facility exclusively through us for the Term of this Agreement.</w:t>
      </w:r>
    </w:p>
    <w:tbl>
      <w:tblPr>
        <w:tblW w:w="10350" w:type="dxa"/>
        <w:jc w:val="start"/>
        <w:tblInd w:w="288" w:type="dxa"/>
        <w:tblLayout w:type="fixed"/>
        <w:tblCellMar>
          <w:top w:w="0" w:type="dxa"/>
          <w:start w:w="108" w:type="dxa"/>
          <w:bottom w:w="0" w:type="dxa"/>
          <w:end w:w="108" w:type="dxa"/>
        </w:tblCellMar>
      </w:tblPr>
      <w:tblGrid>
        <w:gridCol w:w="4680"/>
        <w:gridCol w:w="270"/>
        <w:gridCol w:w="5400"/>
      </w:tblGrid>
      <w:tr>
        <w:trPr/>
        <w:tc>
          <w:tcPr>
            <w:tcW w:w="4680" w:type="dxa"/>
            <w:tcBorders/>
          </w:tcPr>
          <w:p>
            <w:pPr>
              <w:pStyle w:val="Heading2"/>
              <w:spacing w:before="60" w:after="60"/>
              <w:ind w:hanging="0" w:start="0"/>
              <w:rPr>
                <w:rFonts w:ascii="Times New Roman" w:hAnsi="Times New Roman" w:cs="Times New Roman"/>
                <w:b/>
                <w:sz w:val="16"/>
              </w:rPr>
            </w:pPr>
            <w:bookmarkStart w:id="21" w:name="_DV_M11"/>
            <w:bookmarkEnd w:id="21"/>
            <w:r>
              <w:rPr>
                <w:rFonts w:cs="Times New Roman" w:ascii="Times New Roman" w:hAnsi="Times New Roman"/>
                <w:b/>
                <w:sz w:val="16"/>
              </w:rPr>
              <w:t>FACILITY INFORMATION</w:t>
            </w:r>
          </w:p>
        </w:tc>
        <w:tc>
          <w:tcPr>
            <w:tcW w:w="270" w:type="dxa"/>
            <w:tcBorders/>
          </w:tcPr>
          <w:p>
            <w:pPr>
              <w:pStyle w:val="Normal"/>
              <w:snapToGrid w:val="false"/>
              <w:spacing w:before="60" w:after="60"/>
              <w:jc w:val="both"/>
              <w:rPr>
                <w:rFonts w:ascii="Times New Roman" w:hAnsi="Times New Roman" w:cs="Times New Roman"/>
                <w:b/>
                <w:sz w:val="16"/>
                <w:u w:val="single"/>
              </w:rPr>
            </w:pPr>
            <w:r>
              <w:rPr>
                <w:rFonts w:cs="Times New Roman"/>
                <w:b/>
                <w:sz w:val="16"/>
                <w:u w:val="single"/>
              </w:rPr>
            </w:r>
          </w:p>
        </w:tc>
        <w:tc>
          <w:tcPr>
            <w:tcW w:w="5400" w:type="dxa"/>
            <w:tcBorders/>
          </w:tcPr>
          <w:p>
            <w:pPr>
              <w:pStyle w:val="Normal"/>
              <w:spacing w:before="60" w:after="60"/>
              <w:jc w:val="both"/>
              <w:rPr/>
            </w:pPr>
            <w:bookmarkStart w:id="22" w:name="_DV_M12"/>
            <w:bookmarkEnd w:id="22"/>
            <w:r>
              <w:rPr>
                <w:b/>
                <w:sz w:val="16"/>
                <w:u w:val="single"/>
              </w:rPr>
              <w:t xml:space="preserve">BILLING INFORMATION </w:t>
            </w:r>
            <w:r>
              <w:rPr>
                <w:b/>
                <w:sz w:val="16"/>
              </w:rPr>
              <w:t>(and your address for notices)</w:t>
            </w:r>
          </w:p>
        </w:tc>
      </w:tr>
      <w:tr>
        <w:trPr/>
        <w:tc>
          <w:tcPr>
            <w:tcW w:w="4680" w:type="dxa"/>
            <w:tcBorders/>
          </w:tcPr>
          <w:p>
            <w:pPr>
              <w:pStyle w:val="Heading5"/>
              <w:rPr/>
            </w:pPr>
            <w:bookmarkStart w:id="23" w:name="_DV_M13"/>
            <w:bookmarkEnd w:id="23"/>
            <w:r>
              <w:rPr>
                <w:rFonts w:cs="Times New Roman" w:ascii="Times New Roman" w:hAnsi="Times New Roman"/>
                <w:b w:val="false"/>
                <w:caps w:val="false"/>
                <w:smallCaps w:val="false"/>
                <w:sz w:val="16"/>
                <w:lang w:val="fr-FR"/>
              </w:rPr>
              <w:t>Name</w:t>
            </w:r>
            <w:r>
              <w:rPr>
                <w:rFonts w:cs="Times New Roman" w:ascii="Times New Roman" w:hAnsi="Times New Roman"/>
                <w:b w:val="false"/>
                <w:sz w:val="16"/>
                <w:lang w:val="fr-FR"/>
              </w:rPr>
              <w:t>:</w:t>
            </w:r>
            <w:r>
              <w:rPr>
                <w:rFonts w:cs="Times New Roman" w:ascii="Times New Roman" w:hAnsi="Times New Roman"/>
                <w:b w:val="false"/>
                <w:sz w:val="16"/>
                <w:u w:val="single"/>
                <w:lang w:val="fr-FR"/>
              </w:rPr>
              <w:tab/>
              <w:tab/>
              <w:tab/>
              <w:tab/>
              <w:tab/>
              <w:tab/>
            </w:r>
          </w:p>
        </w:tc>
        <w:tc>
          <w:tcPr>
            <w:tcW w:w="270" w:type="dxa"/>
            <w:tcBorders/>
          </w:tcPr>
          <w:p>
            <w:pPr>
              <w:pStyle w:val="Normal"/>
              <w:snapToGrid w:val="false"/>
              <w:jc w:val="both"/>
              <w:rPr>
                <w:rFonts w:ascii="Times New Roman" w:hAnsi="Times New Roman" w:cs="Times New Roman"/>
                <w:b w:val="false"/>
                <w:smallCaps/>
                <w:sz w:val="16"/>
                <w:u w:val="single"/>
                <w:lang w:val="fr-FR"/>
              </w:rPr>
            </w:pPr>
            <w:r>
              <w:rPr>
                <w:rFonts w:cs="Times New Roman"/>
                <w:b w:val="false"/>
                <w:smallCaps/>
                <w:sz w:val="16"/>
                <w:u w:val="single"/>
                <w:lang w:val="fr-FR"/>
              </w:rPr>
            </w:r>
          </w:p>
        </w:tc>
        <w:tc>
          <w:tcPr>
            <w:tcW w:w="5400" w:type="dxa"/>
            <w:tcBorders/>
          </w:tcPr>
          <w:p>
            <w:pPr>
              <w:pStyle w:val="Heading5"/>
              <w:rPr/>
            </w:pPr>
            <w:bookmarkStart w:id="24" w:name="_DV_M14"/>
            <w:bookmarkEnd w:id="24"/>
            <w:r>
              <w:rPr>
                <w:rFonts w:cs="Times New Roman" w:ascii="Times New Roman" w:hAnsi="Times New Roman"/>
                <w:b w:val="false"/>
                <w:caps w:val="false"/>
                <w:smallCaps w:val="false"/>
                <w:sz w:val="16"/>
                <w:lang w:val="fr-FR"/>
              </w:rPr>
              <w:t>Billing Address</w:t>
            </w:r>
            <w:r>
              <w:rPr>
                <w:rFonts w:cs="Times New Roman" w:ascii="Times New Roman" w:hAnsi="Times New Roman"/>
                <w:b w:val="false"/>
                <w:sz w:val="16"/>
                <w:lang w:val="fr-FR"/>
              </w:rPr>
              <w:t>:</w:t>
            </w:r>
            <w:r>
              <w:rPr>
                <w:rFonts w:cs="Times New Roman" w:ascii="Times New Roman" w:hAnsi="Times New Roman"/>
                <w:b w:val="false"/>
                <w:sz w:val="16"/>
                <w:u w:val="single"/>
                <w:lang w:val="fr-FR"/>
              </w:rPr>
              <w:tab/>
              <w:tab/>
              <w:tab/>
              <w:tab/>
              <w:tab/>
            </w:r>
          </w:p>
        </w:tc>
      </w:tr>
      <w:tr>
        <w:trPr/>
        <w:tc>
          <w:tcPr>
            <w:tcW w:w="4680" w:type="dxa"/>
            <w:tcBorders/>
          </w:tcPr>
          <w:p>
            <w:pPr>
              <w:pStyle w:val="Normal"/>
              <w:jc w:val="both"/>
              <w:rPr/>
            </w:pPr>
            <w:bookmarkStart w:id="25" w:name="_DV_M15"/>
            <w:bookmarkEnd w:id="25"/>
            <w:r>
              <w:rPr>
                <w:sz w:val="16"/>
              </w:rPr>
              <w:t>Service Address:</w:t>
            </w:r>
            <w:r>
              <w:rPr>
                <w:sz w:val="16"/>
                <w:u w:val="single"/>
              </w:rPr>
              <w:tab/>
              <w:tab/>
              <w:tab/>
              <w:tab/>
              <w:tab/>
            </w:r>
          </w:p>
        </w:tc>
        <w:tc>
          <w:tcPr>
            <w:tcW w:w="270" w:type="dxa"/>
            <w:tcBorders/>
          </w:tcPr>
          <w:p>
            <w:pPr>
              <w:pStyle w:val="Normal"/>
              <w:snapToGrid w:val="false"/>
              <w:jc w:val="both"/>
              <w:rPr>
                <w:sz w:val="16"/>
                <w:u w:val="single"/>
              </w:rPr>
            </w:pPr>
            <w:r>
              <w:rPr>
                <w:sz w:val="16"/>
                <w:u w:val="single"/>
              </w:rPr>
            </w:r>
          </w:p>
        </w:tc>
        <w:tc>
          <w:tcPr>
            <w:tcW w:w="5400" w:type="dxa"/>
            <w:tcBorders/>
          </w:tcPr>
          <w:p>
            <w:pPr>
              <w:pStyle w:val="Normal"/>
              <w:jc w:val="both"/>
              <w:rPr>
                <w:sz w:val="16"/>
                <w:u w:val="single"/>
              </w:rPr>
            </w:pPr>
            <w:bookmarkStart w:id="26" w:name="_DV_M16"/>
            <w:bookmarkEnd w:id="26"/>
            <w:r>
              <w:rPr>
                <w:sz w:val="16"/>
                <w:u w:val="single"/>
              </w:rPr>
              <w:tab/>
              <w:tab/>
              <w:tab/>
              <w:tab/>
              <w:tab/>
              <w:tab/>
            </w:r>
          </w:p>
        </w:tc>
      </w:tr>
      <w:tr>
        <w:trPr/>
        <w:tc>
          <w:tcPr>
            <w:tcW w:w="4680" w:type="dxa"/>
            <w:tcBorders/>
          </w:tcPr>
          <w:p>
            <w:pPr>
              <w:pStyle w:val="Heading5"/>
              <w:rPr>
                <w:rFonts w:ascii="Times New Roman" w:hAnsi="Times New Roman" w:cs="Times New Roman"/>
                <w:b w:val="false"/>
                <w:sz w:val="16"/>
                <w:u w:val="single"/>
              </w:rPr>
            </w:pPr>
            <w:bookmarkStart w:id="27" w:name="_DV_M17"/>
            <w:bookmarkEnd w:id="27"/>
            <w:r>
              <w:rPr>
                <w:rFonts w:cs="Times New Roman" w:ascii="Times New Roman" w:hAnsi="Times New Roman"/>
                <w:b w:val="false"/>
                <w:sz w:val="16"/>
                <w:u w:val="single"/>
              </w:rPr>
              <w:tab/>
              <w:tab/>
              <w:tab/>
              <w:tab/>
              <w:tab/>
              <w:tab/>
              <w:tab/>
            </w:r>
          </w:p>
        </w:tc>
        <w:tc>
          <w:tcPr>
            <w:tcW w:w="270" w:type="dxa"/>
            <w:tcBorders/>
          </w:tcPr>
          <w:p>
            <w:pPr>
              <w:pStyle w:val="Normal"/>
              <w:snapToGrid w:val="false"/>
              <w:jc w:val="both"/>
              <w:rPr>
                <w:rFonts w:ascii="Times New Roman" w:hAnsi="Times New Roman" w:cs="Times New Roman"/>
                <w:b w:val="false"/>
                <w:smallCaps/>
                <w:sz w:val="16"/>
                <w:u w:val="single"/>
              </w:rPr>
            </w:pPr>
            <w:r>
              <w:rPr>
                <w:rFonts w:cs="Times New Roman"/>
                <w:b w:val="false"/>
                <w:smallCaps/>
                <w:sz w:val="16"/>
                <w:u w:val="single"/>
              </w:rPr>
            </w:r>
          </w:p>
        </w:tc>
        <w:tc>
          <w:tcPr>
            <w:tcW w:w="5400" w:type="dxa"/>
            <w:tcBorders/>
          </w:tcPr>
          <w:p>
            <w:pPr>
              <w:pStyle w:val="Heading5"/>
              <w:rPr>
                <w:rFonts w:ascii="Times New Roman" w:hAnsi="Times New Roman" w:cs="Times New Roman"/>
                <w:b w:val="false"/>
                <w:sz w:val="16"/>
                <w:u w:val="single"/>
              </w:rPr>
            </w:pPr>
            <w:bookmarkStart w:id="28" w:name="_DV_M18"/>
            <w:bookmarkEnd w:id="28"/>
            <w:r>
              <w:rPr>
                <w:rFonts w:cs="Times New Roman" w:ascii="Times New Roman" w:hAnsi="Times New Roman"/>
                <w:b w:val="false"/>
                <w:sz w:val="16"/>
                <w:u w:val="single"/>
              </w:rPr>
              <w:tab/>
              <w:tab/>
              <w:tab/>
              <w:tab/>
              <w:tab/>
              <w:tab/>
              <w:tab/>
            </w:r>
          </w:p>
        </w:tc>
      </w:tr>
      <w:tr>
        <w:trPr/>
        <w:tc>
          <w:tcPr>
            <w:tcW w:w="4680" w:type="dxa"/>
            <w:tcBorders/>
          </w:tcPr>
          <w:p>
            <w:pPr>
              <w:pStyle w:val="Normal"/>
              <w:jc w:val="both"/>
              <w:rPr>
                <w:sz w:val="16"/>
                <w:u w:val="single"/>
                <w:lang w:val="fr-FR"/>
              </w:rPr>
            </w:pPr>
            <w:bookmarkStart w:id="29" w:name="_DV_M19"/>
            <w:bookmarkEnd w:id="29"/>
            <w:r>
              <w:rPr>
                <w:sz w:val="16"/>
                <w:u w:val="single"/>
                <w:lang w:val="fr-FR"/>
              </w:rPr>
              <w:tab/>
              <w:tab/>
              <w:tab/>
              <w:tab/>
              <w:tab/>
              <w:tab/>
            </w:r>
          </w:p>
        </w:tc>
        <w:tc>
          <w:tcPr>
            <w:tcW w:w="270" w:type="dxa"/>
            <w:tcBorders/>
          </w:tcPr>
          <w:p>
            <w:pPr>
              <w:pStyle w:val="Normal"/>
              <w:snapToGrid w:val="false"/>
              <w:jc w:val="both"/>
              <w:rPr>
                <w:sz w:val="16"/>
                <w:u w:val="single"/>
                <w:lang w:val="fr-FR"/>
              </w:rPr>
            </w:pPr>
            <w:r>
              <w:rPr>
                <w:sz w:val="16"/>
                <w:u w:val="single"/>
                <w:lang w:val="fr-FR"/>
              </w:rPr>
            </w:r>
          </w:p>
        </w:tc>
        <w:tc>
          <w:tcPr>
            <w:tcW w:w="5400" w:type="dxa"/>
            <w:tcBorders/>
          </w:tcPr>
          <w:p>
            <w:pPr>
              <w:pStyle w:val="Normal"/>
              <w:snapToGrid w:val="false"/>
              <w:jc w:val="both"/>
              <w:rPr>
                <w:sz w:val="16"/>
                <w:u w:val="single"/>
                <w:lang w:val="fr-FR"/>
              </w:rPr>
            </w:pPr>
            <w:r>
              <w:rPr>
                <w:sz w:val="16"/>
                <w:u w:val="single"/>
                <w:lang w:val="fr-FR"/>
              </w:rPr>
            </w:r>
          </w:p>
        </w:tc>
      </w:tr>
      <w:tr>
        <w:trPr/>
        <w:tc>
          <w:tcPr>
            <w:tcW w:w="4680" w:type="dxa"/>
            <w:tcBorders/>
          </w:tcPr>
          <w:p>
            <w:pPr>
              <w:pStyle w:val="Normal"/>
              <w:jc w:val="both"/>
              <w:rPr>
                <w:sz w:val="16"/>
                <w:lang w:val="fr-FR"/>
              </w:rPr>
            </w:pPr>
            <w:bookmarkStart w:id="30" w:name="_DV_M20"/>
            <w:bookmarkEnd w:id="30"/>
            <w:r>
              <w:rPr>
                <w:sz w:val="16"/>
                <w:lang w:val="fr-FR"/>
              </w:rPr>
              <w:t>Local Utility:  __________________________________________</w:t>
            </w:r>
          </w:p>
        </w:tc>
        <w:tc>
          <w:tcPr>
            <w:tcW w:w="270" w:type="dxa"/>
            <w:tcBorders/>
          </w:tcPr>
          <w:p>
            <w:pPr>
              <w:pStyle w:val="Normal"/>
              <w:snapToGrid w:val="false"/>
              <w:jc w:val="both"/>
              <w:rPr>
                <w:sz w:val="16"/>
                <w:lang w:val="fr-FR"/>
              </w:rPr>
            </w:pPr>
            <w:r>
              <w:rPr>
                <w:sz w:val="16"/>
                <w:lang w:val="fr-FR"/>
              </w:rPr>
            </w:r>
          </w:p>
        </w:tc>
        <w:tc>
          <w:tcPr>
            <w:tcW w:w="5400" w:type="dxa"/>
            <w:tcBorders/>
          </w:tcPr>
          <w:p>
            <w:pPr>
              <w:pStyle w:val="Normal"/>
              <w:jc w:val="both"/>
              <w:rPr/>
            </w:pPr>
            <w:bookmarkStart w:id="31" w:name="_DV_M21"/>
            <w:bookmarkEnd w:id="31"/>
            <w:r>
              <w:rPr>
                <w:sz w:val="16"/>
                <w:lang w:val="fr-FR"/>
              </w:rPr>
              <w:t>Attention:</w:t>
            </w:r>
            <w:r>
              <w:rPr>
                <w:sz w:val="16"/>
                <w:u w:val="single"/>
                <w:lang w:val="fr-FR"/>
              </w:rPr>
              <w:tab/>
              <w:tab/>
              <w:tab/>
              <w:tab/>
              <w:tab/>
              <w:tab/>
            </w:r>
          </w:p>
        </w:tc>
      </w:tr>
      <w:tr>
        <w:trPr/>
        <w:tc>
          <w:tcPr>
            <w:tcW w:w="4680" w:type="dxa"/>
            <w:tcBorders/>
          </w:tcPr>
          <w:p>
            <w:pPr>
              <w:pStyle w:val="Normal"/>
              <w:jc w:val="both"/>
              <w:rPr/>
            </w:pPr>
            <w:bookmarkStart w:id="32" w:name="_DV_M22"/>
            <w:bookmarkEnd w:id="32"/>
            <w:r>
              <w:rPr>
                <w:sz w:val="16"/>
                <w:lang w:val="fr-FR"/>
              </w:rPr>
              <w:t>Account #:</w:t>
            </w:r>
            <w:r>
              <w:rPr>
                <w:sz w:val="16"/>
                <w:u w:val="single"/>
                <w:lang w:val="fr-FR"/>
              </w:rPr>
              <w:tab/>
              <w:tab/>
              <w:tab/>
              <w:tab/>
              <w:tab/>
              <w:tab/>
            </w:r>
          </w:p>
          <w:p>
            <w:pPr>
              <w:pStyle w:val="Normal"/>
              <w:jc w:val="both"/>
              <w:rPr>
                <w:sz w:val="16"/>
                <w:lang w:val="fr-FR"/>
              </w:rPr>
            </w:pPr>
            <w:bookmarkStart w:id="33" w:name="_DV_M23"/>
            <w:bookmarkEnd w:id="33"/>
            <w:r>
              <w:rPr>
                <w:sz w:val="16"/>
                <w:lang w:val="fr-FR"/>
              </w:rPr>
              <w:t>Meter #_______________________________________________</w:t>
            </w:r>
          </w:p>
        </w:tc>
        <w:tc>
          <w:tcPr>
            <w:tcW w:w="270" w:type="dxa"/>
            <w:tcBorders/>
          </w:tcPr>
          <w:p>
            <w:pPr>
              <w:pStyle w:val="Normal"/>
              <w:snapToGrid w:val="false"/>
              <w:jc w:val="both"/>
              <w:rPr>
                <w:sz w:val="16"/>
                <w:lang w:val="fr-FR"/>
              </w:rPr>
            </w:pPr>
            <w:r>
              <w:rPr>
                <w:sz w:val="16"/>
                <w:lang w:val="fr-FR"/>
              </w:rPr>
            </w:r>
          </w:p>
        </w:tc>
        <w:tc>
          <w:tcPr>
            <w:tcW w:w="5400" w:type="dxa"/>
            <w:tcBorders/>
          </w:tcPr>
          <w:p>
            <w:pPr>
              <w:pStyle w:val="Normal"/>
              <w:jc w:val="both"/>
              <w:rPr/>
            </w:pPr>
            <w:bookmarkStart w:id="34" w:name="_DV_M24"/>
            <w:bookmarkEnd w:id="34"/>
            <w:r>
              <w:rPr>
                <w:sz w:val="16"/>
                <w:lang w:val="fr-FR"/>
              </w:rPr>
              <w:t>Phone:</w:t>
            </w:r>
            <w:r>
              <w:rPr>
                <w:sz w:val="16"/>
                <w:u w:val="single"/>
                <w:lang w:val="fr-FR"/>
              </w:rPr>
              <w:tab/>
              <w:tab/>
              <w:tab/>
              <w:tab/>
              <w:tab/>
              <w:tab/>
            </w:r>
          </w:p>
        </w:tc>
      </w:tr>
      <w:tr>
        <w:trPr/>
        <w:tc>
          <w:tcPr>
            <w:tcW w:w="4680" w:type="dxa"/>
            <w:tcBorders/>
          </w:tcPr>
          <w:p>
            <w:pPr>
              <w:pStyle w:val="Normal"/>
              <w:jc w:val="both"/>
              <w:rPr/>
            </w:pPr>
            <w:bookmarkStart w:id="35" w:name="_DV_M25"/>
            <w:bookmarkEnd w:id="35"/>
            <w:r>
              <w:rPr>
                <w:sz w:val="16"/>
                <w:lang w:val="fr-FR"/>
              </w:rPr>
              <w:t>Rate Class:</w:t>
            </w:r>
            <w:r>
              <w:rPr>
                <w:sz w:val="16"/>
                <w:u w:val="single"/>
                <w:lang w:val="fr-FR"/>
              </w:rPr>
              <w:tab/>
              <w:tab/>
              <w:tab/>
              <w:tab/>
              <w:tab/>
            </w:r>
          </w:p>
        </w:tc>
        <w:tc>
          <w:tcPr>
            <w:tcW w:w="270" w:type="dxa"/>
            <w:tcBorders/>
          </w:tcPr>
          <w:p>
            <w:pPr>
              <w:pStyle w:val="Normal"/>
              <w:snapToGrid w:val="false"/>
              <w:jc w:val="both"/>
              <w:rPr>
                <w:sz w:val="16"/>
                <w:u w:val="single"/>
                <w:lang w:val="fr-FR"/>
              </w:rPr>
            </w:pPr>
            <w:r>
              <w:rPr>
                <w:sz w:val="16"/>
                <w:u w:val="single"/>
                <w:lang w:val="fr-FR"/>
              </w:rPr>
            </w:r>
          </w:p>
        </w:tc>
        <w:tc>
          <w:tcPr>
            <w:tcW w:w="5400" w:type="dxa"/>
            <w:tcBorders/>
          </w:tcPr>
          <w:p>
            <w:pPr>
              <w:pStyle w:val="Normal"/>
              <w:jc w:val="both"/>
              <w:rPr/>
            </w:pPr>
            <w:bookmarkStart w:id="36" w:name="_DV_M26"/>
            <w:bookmarkEnd w:id="36"/>
            <w:r>
              <w:rPr>
                <w:sz w:val="16"/>
                <w:lang w:val="fr-FR"/>
              </w:rPr>
              <w:t>Fax:</w:t>
            </w:r>
            <w:r>
              <w:rPr>
                <w:sz w:val="16"/>
                <w:u w:val="single"/>
                <w:lang w:val="fr-FR"/>
              </w:rPr>
              <w:tab/>
              <w:tab/>
              <w:tab/>
              <w:tab/>
              <w:tab/>
              <w:tab/>
            </w:r>
          </w:p>
        </w:tc>
      </w:tr>
      <w:tr>
        <w:trPr/>
        <w:tc>
          <w:tcPr>
            <w:tcW w:w="4680" w:type="dxa"/>
            <w:tcBorders/>
          </w:tcPr>
          <w:p>
            <w:pPr>
              <w:pStyle w:val="Normal"/>
              <w:jc w:val="both"/>
              <w:rPr/>
            </w:pPr>
            <w:bookmarkStart w:id="37" w:name="_DV_M27"/>
            <w:bookmarkEnd w:id="37"/>
            <w:r>
              <w:rPr>
                <w:sz w:val="16"/>
                <w:lang w:val="fr-FR"/>
              </w:rPr>
              <w:t>Meter # :</w:t>
            </w:r>
            <w:r>
              <w:rPr>
                <w:sz w:val="16"/>
                <w:u w:val="single"/>
                <w:lang w:val="fr-FR"/>
              </w:rPr>
              <w:tab/>
              <w:tab/>
              <w:tab/>
              <w:tab/>
              <w:tab/>
              <w:tab/>
            </w:r>
          </w:p>
        </w:tc>
        <w:tc>
          <w:tcPr>
            <w:tcW w:w="270" w:type="dxa"/>
            <w:tcBorders/>
          </w:tcPr>
          <w:p>
            <w:pPr>
              <w:pStyle w:val="Normal"/>
              <w:snapToGrid w:val="false"/>
              <w:jc w:val="both"/>
              <w:rPr>
                <w:sz w:val="16"/>
                <w:u w:val="single"/>
                <w:lang w:val="fr-FR"/>
              </w:rPr>
            </w:pPr>
            <w:r>
              <w:rPr>
                <w:sz w:val="16"/>
                <w:u w:val="single"/>
                <w:lang w:val="fr-FR"/>
              </w:rPr>
            </w:r>
          </w:p>
        </w:tc>
        <w:tc>
          <w:tcPr>
            <w:tcW w:w="5400" w:type="dxa"/>
            <w:tcBorders/>
          </w:tcPr>
          <w:p>
            <w:pPr>
              <w:pStyle w:val="Normal"/>
              <w:snapToGrid w:val="false"/>
              <w:jc w:val="both"/>
              <w:rPr>
                <w:sz w:val="16"/>
                <w:u w:val="single"/>
                <w:lang w:val="fr-FR"/>
              </w:rPr>
            </w:pPr>
            <w:r>
              <w:rPr>
                <w:sz w:val="16"/>
                <w:u w:val="single"/>
                <w:lang w:val="fr-FR"/>
              </w:rPr>
            </w:r>
          </w:p>
        </w:tc>
      </w:tr>
    </w:tbl>
    <w:p>
      <w:pPr>
        <w:pStyle w:val="BodyText"/>
        <w:widowControl w:val="false"/>
        <w:rPr/>
      </w:pPr>
      <w:bookmarkStart w:id="38" w:name="_DV_M28"/>
      <w:bookmarkEnd w:id="38"/>
      <w:r>
        <w:rPr>
          <w:rFonts w:cs="Times New Roman" w:ascii="Times New Roman" w:hAnsi="Times New Roman"/>
          <w:b/>
          <w:sz w:val="16"/>
          <w:lang w:val="fr-FR"/>
        </w:rPr>
        <w:t xml:space="preserve">1.2  </w:t>
      </w:r>
      <w:r>
        <w:rPr>
          <w:rFonts w:cs="Times New Roman" w:ascii="Times New Roman" w:hAnsi="Times New Roman"/>
          <w:b/>
          <w:sz w:val="16"/>
          <w:u w:val="single"/>
          <w:lang w:val="fr-FR"/>
        </w:rPr>
        <w:t>Term</w:t>
      </w:r>
      <w:r>
        <w:rPr>
          <w:rFonts w:cs="Times New Roman" w:ascii="Times New Roman" w:hAnsi="Times New Roman"/>
          <w:b/>
          <w:sz w:val="16"/>
          <w:lang w:val="fr-FR"/>
        </w:rPr>
        <w:t xml:space="preserve">.  </w:t>
      </w:r>
      <w:r>
        <w:rPr>
          <w:rFonts w:cs="Times New Roman" w:ascii="Times New Roman" w:hAnsi="Times New Roman"/>
          <w:sz w:val="16"/>
          <w:lang w:val="fr-FR"/>
        </w:rPr>
        <w:t xml:space="preserve">The purchase and sale of energy hereunder shall (i) commence on the Utility Transfer Date closest to October 1, 2001 and (ii) continue through the Utility Transfer Date closest to </w:t>
      </w:r>
      <w:r>
        <w:fldChar w:fldCharType="begin">
          <w:ffData>
            <w:name w:val="_DV_M29"/>
            <w:enabled/>
            <w:calcOnExit w:val="0"/>
            <w:checkBox>
              <w:sizeAuto/>
            </w:checkBox>
          </w:ffData>
        </w:fldChar>
      </w:r>
      <w:r>
        <w:rPr>
          <w:sz w:val="16"/>
          <w:rFonts w:cs="Times New Roman" w:ascii="Times New Roman" w:hAnsi="Times New Roman"/>
        </w:rPr>
        <w:instrText xml:space="preserve"> FORMCHECKBOX </w:instrText>
      </w:r>
      <w:r>
        <w:rPr>
          <w:sz w:val="16"/>
          <w:rFonts w:cs="Times New Roman" w:ascii="Times New Roman" w:hAnsi="Times New Roman"/>
        </w:rPr>
        <w:fldChar w:fldCharType="separate"/>
      </w:r>
      <w:bookmarkStart w:id="39" w:name="_DV_M29"/>
      <w:bookmarkStart w:id="40" w:name="_DV_M29"/>
      <w:bookmarkEnd w:id="40"/>
      <w:r>
        <w:rPr>
          <w:rFonts w:cs="Times New Roman" w:ascii="Times New Roman" w:hAnsi="Times New Roman"/>
          <w:sz w:val="16"/>
        </w:rPr>
      </w:r>
      <w:r>
        <w:rPr>
          <w:sz w:val="16"/>
          <w:rFonts w:cs="Times New Roman" w:ascii="Times New Roman" w:hAnsi="Times New Roman"/>
        </w:rPr>
        <w:fldChar w:fldCharType="end"/>
      </w:r>
      <w:r>
        <w:rPr>
          <w:rFonts w:cs="Times New Roman" w:ascii="Times New Roman" w:hAnsi="Times New Roman"/>
          <w:sz w:val="16"/>
          <w:lang w:val="fr-FR"/>
        </w:rPr>
        <w:t xml:space="preserve"> </w:t>
      </w:r>
      <w:bookmarkStart w:id="41" w:name="_DV_C5"/>
      <w:r>
        <w:rPr>
          <w:rStyle w:val="DeltaViewInsertion"/>
          <w:rFonts w:cs="Times New Roman" w:ascii="Times New Roman" w:hAnsi="Times New Roman"/>
          <w:color w:val="auto"/>
          <w:sz w:val="16"/>
          <w:lang w:val="fr-FR"/>
        </w:rPr>
        <w:t xml:space="preserve">24 months, </w:t>
      </w:r>
      <w:r>
        <w:fldChar w:fldCharType="begin">
          <w:ffData>
            <w:name w:val="_DV_C6"/>
            <w:enabled/>
            <w:calcOnExit w:val="0"/>
            <w:checkBox>
              <w:sizeAuto/>
            </w:checkBox>
          </w:ffData>
        </w:fldChar>
      </w:r>
      <w:r>
        <w:rPr>
          <w:rStyle w:val="DeltaViewInsertion"/>
          <w:sz w:val="16"/>
          <w:rFonts w:cs="Times New Roman" w:ascii="Times New Roman" w:hAnsi="Times New Roman"/>
          <w:color w:val="auto"/>
        </w:rPr>
        <w:instrText xml:space="preserve"> FORMCHECKBOX </w:instrText>
      </w:r>
      <w:r>
        <w:rPr>
          <w:rStyle w:val="DeltaViewInsertion"/>
          <w:sz w:val="16"/>
          <w:rFonts w:cs="Times New Roman" w:ascii="Times New Roman" w:hAnsi="Times New Roman"/>
          <w:color w:val="auto"/>
        </w:rPr>
        <w:fldChar w:fldCharType="separate"/>
      </w:r>
      <w:bookmarkStart w:id="42" w:name="_DV_C6"/>
      <w:bookmarkStart w:id="43" w:name="_DV_C6"/>
      <w:bookmarkEnd w:id="41"/>
      <w:bookmarkEnd w:id="43"/>
      <w:r>
        <w:rPr>
          <w:rStyle w:val="DeltaViewInsertion"/>
          <w:rFonts w:cs="Times New Roman" w:ascii="Times New Roman" w:hAnsi="Times New Roman"/>
          <w:color w:val="auto"/>
          <w:sz w:val="16"/>
        </w:rPr>
      </w:r>
      <w:r>
        <w:rPr>
          <w:rStyle w:val="DeltaViewInsertion"/>
          <w:sz w:val="16"/>
          <w:rFonts w:cs="Times New Roman" w:ascii="Times New Roman" w:hAnsi="Times New Roman"/>
          <w:color w:val="auto"/>
        </w:rPr>
        <w:fldChar w:fldCharType="end"/>
      </w:r>
      <w:r>
        <w:rPr>
          <w:rFonts w:cs="Times New Roman" w:ascii="Times New Roman" w:hAnsi="Times New Roman"/>
          <w:sz w:val="16"/>
          <w:lang w:val="fr-FR"/>
        </w:rPr>
        <w:t xml:space="preserve"> </w:t>
      </w:r>
      <w:bookmarkStart w:id="44" w:name="_DV_M30"/>
      <w:bookmarkEnd w:id="44"/>
      <w:r>
        <w:rPr>
          <w:rFonts w:cs="Times New Roman" w:ascii="Times New Roman" w:hAnsi="Times New Roman"/>
          <w:sz w:val="16"/>
          <w:lang w:val="fr-FR"/>
        </w:rPr>
        <w:t xml:space="preserve">36 months, </w:t>
      </w:r>
      <w:r>
        <w:fldChar w:fldCharType="begin">
          <w:ffData>
            <w:name w:val="Check58"/>
            <w:enabled/>
            <w:calcOnExit w:val="0"/>
            <w:checkBox>
              <w:sizeAuto/>
            </w:checkBox>
          </w:ffData>
        </w:fldChar>
      </w:r>
      <w:r>
        <w:rPr>
          <w:sz w:val="16"/>
          <w:rFonts w:cs="Times New Roman" w:ascii="Times New Roman" w:hAnsi="Times New Roman"/>
        </w:rPr>
        <w:instrText xml:space="preserve"> FORMCHECKBOX </w:instrText>
      </w:r>
      <w:r>
        <w:rPr>
          <w:sz w:val="16"/>
          <w:rFonts w:cs="Times New Roman" w:ascii="Times New Roman" w:hAnsi="Times New Roman"/>
        </w:rPr>
        <w:fldChar w:fldCharType="separate"/>
      </w:r>
      <w:bookmarkStart w:id="45" w:name="Check58"/>
      <w:bookmarkStart w:id="46" w:name="Check58"/>
      <w:bookmarkEnd w:id="46"/>
      <w:r>
        <w:rPr>
          <w:rFonts w:cs="Times New Roman" w:ascii="Times New Roman" w:hAnsi="Times New Roman"/>
          <w:sz w:val="16"/>
        </w:rPr>
      </w:r>
      <w:r>
        <w:rPr>
          <w:sz w:val="16"/>
          <w:rFonts w:cs="Times New Roman" w:ascii="Times New Roman" w:hAnsi="Times New Roman"/>
        </w:rPr>
        <w:fldChar w:fldCharType="end"/>
      </w:r>
      <w:bookmarkStart w:id="47" w:name="_DV_M31"/>
      <w:bookmarkEnd w:id="47"/>
      <w:r>
        <w:rPr>
          <w:rFonts w:cs="Times New Roman" w:ascii="Times New Roman" w:hAnsi="Times New Roman"/>
          <w:sz w:val="16"/>
          <w:lang w:val="fr-FR"/>
        </w:rPr>
        <w:t xml:space="preserve"> 48 </w:t>
      </w:r>
      <w:bookmarkStart w:id="48" w:name="_DV_M32"/>
      <w:bookmarkEnd w:id="48"/>
      <w:r>
        <w:rPr>
          <w:rFonts w:cs="Times New Roman" w:ascii="Times New Roman" w:hAnsi="Times New Roman"/>
          <w:sz w:val="16"/>
          <w:lang w:val="fr-FR"/>
        </w:rPr>
        <w:t xml:space="preserve">months, </w:t>
      </w:r>
      <w:r>
        <w:fldChar w:fldCharType="begin">
          <w:ffData>
            <w:name w:val="Check59"/>
            <w:enabled/>
            <w:calcOnExit w:val="0"/>
            <w:checkBox>
              <w:sizeAuto/>
            </w:checkBox>
          </w:ffData>
        </w:fldChar>
      </w:r>
      <w:r>
        <w:rPr>
          <w:sz w:val="16"/>
          <w:rFonts w:cs="Times New Roman" w:ascii="Times New Roman" w:hAnsi="Times New Roman"/>
        </w:rPr>
        <w:instrText xml:space="preserve"> FORMCHECKBOX </w:instrText>
      </w:r>
      <w:r>
        <w:rPr>
          <w:sz w:val="16"/>
          <w:rFonts w:cs="Times New Roman" w:ascii="Times New Roman" w:hAnsi="Times New Roman"/>
        </w:rPr>
        <w:fldChar w:fldCharType="separate"/>
      </w:r>
      <w:bookmarkStart w:id="49" w:name="Check59"/>
      <w:bookmarkStart w:id="50" w:name="Check59"/>
      <w:bookmarkEnd w:id="50"/>
      <w:r>
        <w:rPr>
          <w:rFonts w:cs="Times New Roman" w:ascii="Times New Roman" w:hAnsi="Times New Roman"/>
          <w:sz w:val="16"/>
        </w:rPr>
      </w:r>
      <w:r>
        <w:rPr>
          <w:sz w:val="16"/>
          <w:rFonts w:cs="Times New Roman" w:ascii="Times New Roman" w:hAnsi="Times New Roman"/>
        </w:rPr>
        <w:fldChar w:fldCharType="end"/>
      </w:r>
      <w:bookmarkStart w:id="51" w:name="_DV_M33"/>
      <w:bookmarkEnd w:id="51"/>
      <w:r>
        <w:rPr>
          <w:rFonts w:cs="Times New Roman" w:ascii="Times New Roman" w:hAnsi="Times New Roman"/>
          <w:sz w:val="16"/>
          <w:lang w:val="fr-FR"/>
        </w:rPr>
        <w:t xml:space="preserve"> 60 months (</w:t>
      </w:r>
      <w:r>
        <w:rPr>
          <w:rFonts w:cs="Times New Roman" w:ascii="Times New Roman" w:hAnsi="Times New Roman"/>
          <w:b/>
          <w:i/>
          <w:sz w:val="16"/>
          <w:lang w:val="fr-FR"/>
        </w:rPr>
        <w:t>check one</w:t>
      </w:r>
      <w:r>
        <w:rPr>
          <w:rFonts w:cs="Times New Roman" w:ascii="Times New Roman" w:hAnsi="Times New Roman"/>
          <w:sz w:val="16"/>
          <w:lang w:val="fr-FR"/>
        </w:rPr>
        <w:t xml:space="preserve">) after October 1, 2001 unless sooner terminated pursuant to this Agreement (the </w:t>
      </w:r>
      <w:r>
        <w:rPr>
          <w:sz w:val="16"/>
          <w:lang w:val="fr-FR"/>
        </w:rPr>
        <w:t>"</w:t>
      </w:r>
      <w:r>
        <w:rPr>
          <w:rFonts w:cs="Times New Roman" w:ascii="Times New Roman" w:hAnsi="Times New Roman"/>
          <w:sz w:val="16"/>
          <w:u w:val="single"/>
          <w:lang w:val="fr-FR"/>
        </w:rPr>
        <w:t>Term</w:t>
      </w:r>
      <w:r>
        <w:rPr>
          <w:sz w:val="16"/>
          <w:lang w:val="fr-FR"/>
        </w:rPr>
        <w:t>"</w:t>
      </w:r>
      <w:r>
        <w:rPr>
          <w:rFonts w:cs="Times New Roman" w:ascii="Times New Roman" w:hAnsi="Times New Roman"/>
          <w:sz w:val="16"/>
          <w:lang w:val="fr-FR"/>
        </w:rPr>
        <w:t>).  The Term will not commence for the Facility until a Utility Transfer Date has occurred and will not be extended on account of delay by the Utility in effecting same.</w:t>
      </w:r>
    </w:p>
    <w:p>
      <w:pPr>
        <w:pStyle w:val="BodyText"/>
        <w:widowControl w:val="false"/>
        <w:spacing w:before="0" w:after="0"/>
        <w:rPr>
          <w:lang w:val="fr-FR"/>
        </w:rPr>
      </w:pPr>
      <w:bookmarkStart w:id="52" w:name="_DV_M34"/>
      <w:bookmarkEnd w:id="52"/>
      <w:r>
        <w:rPr>
          <w:rFonts w:cs="Times New Roman" w:ascii="Times New Roman" w:hAnsi="Times New Roman"/>
          <w:b/>
          <w:sz w:val="16"/>
          <w:lang w:val="fr-FR"/>
        </w:rPr>
        <w:t xml:space="preserve">1.3  </w:t>
      </w:r>
      <w:r>
        <w:rPr>
          <w:rFonts w:cs="Times New Roman" w:ascii="Times New Roman" w:hAnsi="Times New Roman"/>
          <w:b/>
          <w:sz w:val="16"/>
          <w:u w:val="single"/>
          <w:lang w:val="fr-FR"/>
        </w:rPr>
        <w:t>Energy Charge</w:t>
      </w:r>
      <w:r>
        <w:rPr>
          <w:rFonts w:cs="Times New Roman" w:ascii="Times New Roman" w:hAnsi="Times New Roman"/>
          <w:b/>
          <w:sz w:val="16"/>
          <w:lang w:val="fr-FR"/>
        </w:rPr>
        <w:t xml:space="preserve">. </w:t>
      </w:r>
      <w:r>
        <w:rPr>
          <w:rFonts w:cs="Times New Roman" w:ascii="Times New Roman" w:hAnsi="Times New Roman"/>
          <w:sz w:val="16"/>
          <w:lang w:val="fr-FR"/>
        </w:rPr>
        <w:t xml:space="preserve"> You will pay us $ 0. ______ per kWh for all energy usage at the Facility (the </w:t>
      </w:r>
      <w:r>
        <w:rPr>
          <w:sz w:val="16"/>
          <w:lang w:val="fr-FR"/>
        </w:rPr>
        <w:t>"</w:t>
      </w:r>
      <w:r>
        <w:rPr>
          <w:rFonts w:cs="Times New Roman" w:ascii="Times New Roman" w:hAnsi="Times New Roman"/>
          <w:sz w:val="16"/>
          <w:u w:val="single"/>
          <w:lang w:val="fr-FR"/>
        </w:rPr>
        <w:t>Energy Charge</w:t>
      </w:r>
      <w:r>
        <w:rPr>
          <w:sz w:val="16"/>
          <w:lang w:val="fr-FR"/>
        </w:rPr>
        <w:t>"</w:t>
      </w:r>
      <w:r>
        <w:rPr>
          <w:rFonts w:cs="Times New Roman" w:ascii="Times New Roman" w:hAnsi="Times New Roman"/>
          <w:sz w:val="16"/>
          <w:lang w:val="fr-FR"/>
        </w:rPr>
        <w:t>).  The Energy Charge does not include Taxes and Utility Related Charges.  You will (i) pay Taxes as provided in Section 2.5 and (ii) pay directly to the Utility, or reimburse us if we have paid, all Utility Related Charges. "</w:t>
      </w:r>
      <w:r>
        <w:rPr>
          <w:rFonts w:cs="Times New Roman" w:ascii="Times New Roman" w:hAnsi="Times New Roman"/>
          <w:sz w:val="16"/>
          <w:u w:val="single"/>
          <w:lang w:val="fr-FR"/>
        </w:rPr>
        <w:t>Utility Related Charges</w:t>
      </w:r>
      <w:r>
        <w:rPr>
          <w:rFonts w:cs="Times New Roman" w:ascii="Times New Roman" w:hAnsi="Times New Roman"/>
          <w:sz w:val="16"/>
          <w:lang w:val="fr-FR"/>
        </w:rPr>
        <w:t>" means charges or</w:t>
      </w:r>
      <w:r>
        <w:rPr>
          <w:sz w:val="16"/>
          <w:lang w:val="fr-FR"/>
        </w:rPr>
        <w:t xml:space="preserve"> </w:t>
      </w:r>
      <w:r>
        <w:rPr>
          <w:rFonts w:cs="Times New Roman" w:ascii="Times New Roman" w:hAnsi="Times New Roman"/>
          <w:sz w:val="16"/>
          <w:lang w:val="fr-FR"/>
        </w:rPr>
        <w:t>surcharges by a Utility or ISO arising from or related to (i) transmission and distribution of energy and related services; (ii) "stranded costs" or "transition costs" and any other similar types of charges associated with the opening of your state's electric market to Competitive Suppliers; (iii) equipment rental (such as outdoor lighting or transformers); and (iv) system reliability, rate recovery, future</w:t>
      </w:r>
      <w:r>
        <w:rPr>
          <w:rFonts w:cs="Times New Roman" w:ascii="Times New Roman" w:hAnsi="Times New Roman"/>
          <w:lang w:val="fr-FR"/>
        </w:rPr>
        <w:t xml:space="preserve"> </w:t>
      </w:r>
      <w:r>
        <w:rPr>
          <w:rFonts w:cs="Times New Roman" w:ascii="Times New Roman" w:hAnsi="Times New Roman"/>
          <w:sz w:val="16"/>
          <w:lang w:val="fr-FR"/>
        </w:rPr>
        <w:t>payback of under-collections, amortization of above market purchases or energy load repurchases, public purpose programs and all similar items.</w:t>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Heading7"/>
              <w:keepNext w:val="false"/>
              <w:widowControl w:val="false"/>
              <w:spacing w:lineRule="auto" w:line="240"/>
              <w:jc w:val="start"/>
              <w:rPr>
                <w:rFonts w:ascii="Times New Roman" w:hAnsi="Times New Roman" w:cs="Times New Roman"/>
                <w:sz w:val="16"/>
              </w:rPr>
            </w:pPr>
            <w:bookmarkStart w:id="53" w:name="_DV_M35"/>
            <w:bookmarkEnd w:id="53"/>
            <w:r>
              <w:rPr>
                <w:rFonts w:cs="Times New Roman" w:ascii="Times New Roman" w:hAnsi="Times New Roman"/>
                <w:sz w:val="16"/>
              </w:rPr>
              <w:t>SECTION 2. OPERATIONAL TERMS</w:t>
            </w:r>
          </w:p>
        </w:tc>
      </w:tr>
    </w:tbl>
    <w:p>
      <w:pPr>
        <w:pStyle w:val="BodyText"/>
        <w:widowControl w:val="false"/>
        <w:spacing w:before="0" w:after="0"/>
        <w:rPr/>
      </w:pPr>
      <w:bookmarkStart w:id="54" w:name="_DV_M36"/>
      <w:bookmarkEnd w:id="54"/>
      <w:r>
        <w:rPr>
          <w:rFonts w:cs="Times New Roman" w:ascii="Times New Roman" w:hAnsi="Times New Roman"/>
          <w:b/>
          <w:sz w:val="16"/>
          <w:lang w:val="fr-FR"/>
        </w:rPr>
        <w:t xml:space="preserve">2.1  </w:t>
      </w:r>
      <w:r>
        <w:rPr>
          <w:rFonts w:cs="Times New Roman" w:ascii="Times New Roman" w:hAnsi="Times New Roman"/>
          <w:b/>
          <w:sz w:val="16"/>
          <w:u w:val="single"/>
          <w:lang w:val="fr-FR"/>
        </w:rPr>
        <w:t>Participation and Agency</w:t>
      </w:r>
      <w:r>
        <w:rPr>
          <w:rFonts w:cs="Times New Roman" w:ascii="Times New Roman" w:hAnsi="Times New Roman"/>
          <w:b/>
          <w:sz w:val="16"/>
          <w:lang w:val="fr-FR"/>
        </w:rPr>
        <w:t xml:space="preserve">.  </w:t>
      </w:r>
      <w:r>
        <w:rPr>
          <w:rFonts w:cs="Times New Roman" w:ascii="Times New Roman" w:hAnsi="Times New Roman"/>
          <w:sz w:val="16"/>
          <w:lang w:val="fr-FR"/>
        </w:rPr>
        <w:t>You will (i) participate in "retail access" (however defined) under applicable Law and Rules; (ii)</w:t>
      </w:r>
      <w:bookmarkStart w:id="55" w:name="_DV_C7"/>
      <w:r>
        <w:rPr>
          <w:rStyle w:val="DeltaViewInsertion"/>
          <w:rFonts w:cs="Times New Roman" w:ascii="Times New Roman" w:hAnsi="Times New Roman"/>
          <w:color w:val="auto"/>
          <w:sz w:val="16"/>
          <w:lang w:val="fr-FR"/>
        </w:rPr>
        <w:t xml:space="preserve"> take all actions that may be necessary in order to</w:t>
      </w:r>
      <w:bookmarkStart w:id="56" w:name="_DV_M37"/>
      <w:bookmarkEnd w:id="55"/>
      <w:bookmarkEnd w:id="56"/>
      <w:r>
        <w:rPr>
          <w:rFonts w:cs="Times New Roman" w:ascii="Times New Roman" w:hAnsi="Times New Roman"/>
          <w:sz w:val="16"/>
          <w:lang w:val="fr-FR"/>
        </w:rPr>
        <w:t xml:space="preserve"> designate us as your Competitive Supplier; (iii) execute the customer authorization statement simultaneously herewith and any separate written agreements that may be required by a Utility in connection with this Agreement; (iv) pay all Utility deposits, connection fees and metering charges necessary to establish or maintain electric service, and (v) take such other actions reasonably requested.  You also appoint us as your limited agent so that we may obtain information from each Utility with respect to your billing and credit history, usage, load shape, and other similar data. You will cooperate with us to notify each Utility of this appointment.  Our responsibility as your limited agent under this Agreement is limited to the foregoing and does not create any fiduciary or other duties which may otherwise arise by operation of law.  </w:t>
      </w:r>
    </w:p>
    <w:p>
      <w:pPr>
        <w:pStyle w:val="Outline3"/>
        <w:widowControl w:val="false"/>
        <w:jc w:val="both"/>
        <w:rPr/>
      </w:pPr>
      <w:bookmarkStart w:id="57" w:name="_DV_M38"/>
      <w:bookmarkEnd w:id="57"/>
      <w:r>
        <w:rPr>
          <w:b/>
          <w:sz w:val="16"/>
          <w:lang w:val="fr-FR"/>
        </w:rPr>
        <w:t xml:space="preserve">2.2  </w:t>
      </w:r>
      <w:r>
        <w:rPr>
          <w:b/>
          <w:sz w:val="16"/>
          <w:u w:val="single"/>
          <w:lang w:val="fr-FR"/>
        </w:rPr>
        <w:t>Energy Delivery</w:t>
      </w:r>
      <w:r>
        <w:rPr>
          <w:b/>
          <w:sz w:val="16"/>
          <w:lang w:val="fr-FR"/>
        </w:rPr>
        <w:t xml:space="preserve">.   </w:t>
      </w:r>
      <w:r>
        <w:rPr>
          <w:sz w:val="16"/>
          <w:lang w:val="fr-FR"/>
        </w:rPr>
        <w:t>We will cause the energy to be delivered to the applicable Utility or ISO at any point of interconnection between the applicable third party transmission systems and those of the Utility or ISO (the "</w:t>
      </w:r>
      <w:r>
        <w:rPr>
          <w:sz w:val="16"/>
          <w:u w:val="single"/>
          <w:lang w:val="fr-FR"/>
        </w:rPr>
        <w:t>Delivery Point</w:t>
      </w:r>
      <w:r>
        <w:rPr>
          <w:sz w:val="16"/>
          <w:lang w:val="fr-FR"/>
        </w:rPr>
        <w:t xml:space="preserve">"), at our sole cost and expense.  Each Utility will be responsible for receiving the energy and distributing it to the Facility.  Title to and risk of loss related to the energy will transfer from us to you at the Delivery Point.  If we fail to deliver all or part of your energy requirements, we will pay any Energy Imbalance Charges on account of such failure; except and to the extent such failure is excused or caused by (i) Force Majeure, (ii) a default by you, or (iii) a Utility Curtailment Notice. </w:t>
      </w:r>
    </w:p>
    <w:p>
      <w:pPr>
        <w:pStyle w:val="Normal"/>
        <w:widowControl w:val="false"/>
        <w:jc w:val="both"/>
        <w:rPr/>
      </w:pPr>
      <w:bookmarkStart w:id="58" w:name="_DV_M39"/>
      <w:bookmarkEnd w:id="58"/>
      <w:r>
        <w:rPr>
          <w:b/>
          <w:sz w:val="16"/>
          <w:lang w:val="fr-FR"/>
        </w:rPr>
        <w:t xml:space="preserve">2.3  </w:t>
      </w:r>
      <w:r>
        <w:rPr>
          <w:b/>
          <w:sz w:val="16"/>
          <w:u w:val="single"/>
          <w:lang w:val="fr-FR"/>
        </w:rPr>
        <w:t>Utility Curtailment Notices</w:t>
      </w:r>
      <w:r>
        <w:rPr>
          <w:b/>
          <w:sz w:val="16"/>
          <w:lang w:val="fr-FR"/>
        </w:rPr>
        <w:t xml:space="preserve">.  </w:t>
      </w:r>
      <w:r>
        <w:rPr>
          <w:sz w:val="16"/>
          <w:lang w:val="fr-FR"/>
        </w:rPr>
        <w:t>You will notify us of and fully comply with all Utility curtailment or interruption orders or similar notices by a Utility requiring the interruption or curtailment of your energy usage (a “</w:t>
      </w:r>
      <w:r>
        <w:rPr>
          <w:sz w:val="16"/>
          <w:u w:val="single"/>
          <w:lang w:val="fr-FR"/>
        </w:rPr>
        <w:t>Utility Curtailment Notice</w:t>
      </w:r>
      <w:r>
        <w:rPr>
          <w:sz w:val="16"/>
          <w:lang w:val="en-CA"/>
        </w:rPr>
        <w:t>”) and pay any and all Energy Imbalance Charges resulting from your failure to so comply.</w:t>
      </w:r>
    </w:p>
    <w:p>
      <w:pPr>
        <w:pStyle w:val="Normal"/>
        <w:widowControl w:val="false"/>
        <w:jc w:val="both"/>
        <w:rPr/>
      </w:pPr>
      <w:bookmarkStart w:id="59" w:name="_DV_M40"/>
      <w:bookmarkEnd w:id="59"/>
      <w:r>
        <w:rPr>
          <w:b/>
          <w:sz w:val="16"/>
          <w:lang w:val="en-CA"/>
        </w:rPr>
        <w:t xml:space="preserve">2.4  </w:t>
      </w:r>
      <w:r>
        <w:rPr>
          <w:b/>
          <w:sz w:val="16"/>
          <w:u w:val="single"/>
          <w:lang w:val="en-CA"/>
        </w:rPr>
        <w:t>Force Majeure</w:t>
      </w:r>
      <w:r>
        <w:rPr>
          <w:b/>
          <w:sz w:val="16"/>
          <w:lang w:val="en-CA"/>
        </w:rPr>
        <w:t xml:space="preserve">.  </w:t>
      </w:r>
      <w:r>
        <w:rPr>
          <w:sz w:val="16"/>
          <w:lang w:val="en-CA"/>
        </w:rPr>
        <w:t>If either Party is rendered unable by Force Majeure to carry out, in whole or part, its obligations under this Agreement and such Party gives notice and full details of the event to the other Party as soon as practicable, then during such Force Majeure event, the obligations of the Party claiming Force Majeure (other than the obligation to make payments to the other Party as and when due) will be suspended.  The Party claiming Force Majeure will use commercially reasonable efforts to remedy the Force Majeure with all reasonable dispatch.</w:t>
      </w:r>
    </w:p>
    <w:p>
      <w:pPr>
        <w:pStyle w:val="Normal"/>
        <w:widowControl w:val="false"/>
        <w:jc w:val="both"/>
        <w:rPr/>
      </w:pPr>
      <w:bookmarkStart w:id="60" w:name="_DV_M41"/>
      <w:bookmarkEnd w:id="60"/>
      <w:r>
        <w:rPr>
          <w:b/>
          <w:sz w:val="16"/>
          <w:lang w:val="en-CA"/>
        </w:rPr>
        <w:t xml:space="preserve">2.5  </w:t>
      </w:r>
      <w:r>
        <w:rPr>
          <w:b/>
          <w:sz w:val="16"/>
          <w:u w:val="single"/>
          <w:lang w:val="en-CA"/>
        </w:rPr>
        <w:t>Billing and Payment</w:t>
      </w:r>
      <w:r>
        <w:rPr>
          <w:b/>
          <w:sz w:val="16"/>
          <w:lang w:val="en-CA"/>
        </w:rPr>
        <w:t xml:space="preserve">.   </w:t>
      </w:r>
      <w:r>
        <w:rPr>
          <w:sz w:val="16"/>
          <w:lang w:val="en-CA"/>
        </w:rPr>
        <w:t>The Utility will send you an invoice for each billing cycle during the Term detailing the charges due the Utility with respect to your Facility ("</w:t>
      </w:r>
      <w:r>
        <w:rPr>
          <w:sz w:val="16"/>
          <w:u w:val="single"/>
          <w:lang w:val="en-CA"/>
        </w:rPr>
        <w:t>Utility Invoice Amount</w:t>
      </w:r>
      <w:r>
        <w:rPr>
          <w:sz w:val="16"/>
          <w:lang w:val="en-CA"/>
        </w:rPr>
        <w:t>") .  The Utility Invoice Amount will include the Energy Charge and the Utility Related Charges.  You will remit the invoiced amount to the payment address specified on the Utility invoice by the due date provided therein.  If you fail to pay any amounts due by the due date, you shall be responsible for and pay all fees, interest and penalties assessed by the Utility.  You will be responsible for and pay for all Taxes related to this Agreement whether imposed on you or us.  If each of the Parties are required to pay an amount in the same month, such amounts may be aggregated and each Party may discharge its obligations to pay through netting with the Party owing the greater aggregate amount paying the other Party the difference between the amounts owed.</w:t>
      </w:r>
    </w:p>
    <w:p>
      <w:pPr>
        <w:pStyle w:val="Normal"/>
        <w:widowControl w:val="false"/>
        <w:jc w:val="both"/>
        <w:rPr>
          <w:color w:val="000000"/>
          <w:sz w:val="24"/>
          <w:lang w:val="en-CA"/>
        </w:rPr>
      </w:pPr>
      <w:bookmarkStart w:id="61" w:name="_DV_M42"/>
      <w:bookmarkEnd w:id="61"/>
      <w:r>
        <w:rPr>
          <w:b/>
          <w:color w:val="000000"/>
          <w:sz w:val="24"/>
          <w:lang w:val="en-CA"/>
        </w:rPr>
        <w:t xml:space="preserve">2.6  </w:t>
      </w:r>
      <w:r>
        <w:rPr>
          <w:b/>
          <w:color w:val="000000"/>
          <w:sz w:val="24"/>
          <w:u w:val="single"/>
          <w:lang w:val="en-CA"/>
        </w:rPr>
        <w:t>Security</w:t>
      </w:r>
      <w:r>
        <w:rPr>
          <w:b/>
          <w:color w:val="000000"/>
          <w:sz w:val="24"/>
          <w:lang w:val="en-CA"/>
        </w:rPr>
        <w:t>.</w:t>
      </w:r>
      <w:r>
        <w:rPr>
          <w:color w:val="000000"/>
          <w:sz w:val="24"/>
          <w:lang w:val="en-CA"/>
        </w:rPr>
        <w:t xml:space="preserve">   </w:t>
      </w:r>
      <w:bookmarkStart w:id="62" w:name="_DV_M43"/>
      <w:bookmarkEnd w:id="62"/>
      <w:r>
        <w:rPr>
          <w:color w:val="000000"/>
          <w:sz w:val="24"/>
          <w:lang w:val="en-CA"/>
        </w:rPr>
        <w:t>We may request that you provide (or extend, renew or increase) collateral as provided in the Rules, and upon delivery of such collateral, you grant us a present and continuing security interest in, lien on (and rights of setoff against), and assignment of all such collateral and resulting proceeds.  Upon your Default, we may exercise any rights and remedies with respect to the collateral and proceeds.</w:t>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Normal"/>
              <w:widowControl w:val="false"/>
              <w:snapToGrid w:val="false"/>
              <w:jc w:val="both"/>
              <w:rPr>
                <w:sz w:val="16"/>
              </w:rPr>
            </w:pPr>
            <w:r>
              <w:rPr>
                <w:sz w:val="16"/>
              </w:rPr>
            </w:r>
          </w:p>
          <w:p>
            <w:pPr>
              <w:pStyle w:val="Heading7"/>
              <w:keepNext w:val="false"/>
              <w:widowControl w:val="false"/>
              <w:spacing w:lineRule="auto" w:line="240"/>
              <w:jc w:val="start"/>
              <w:rPr>
                <w:rFonts w:ascii="Times New Roman" w:hAnsi="Times New Roman" w:cs="Times New Roman"/>
                <w:sz w:val="16"/>
              </w:rPr>
            </w:pPr>
            <w:bookmarkStart w:id="63" w:name="_DV_M44"/>
            <w:bookmarkEnd w:id="63"/>
            <w:r>
              <w:rPr>
                <w:rFonts w:cs="Times New Roman" w:ascii="Times New Roman" w:hAnsi="Times New Roman"/>
                <w:sz w:val="16"/>
              </w:rPr>
              <w:t>SECTION 3.  YOUR SIGNATURE AND NOTICES</w:t>
            </w:r>
          </w:p>
        </w:tc>
      </w:tr>
    </w:tbl>
    <w:p>
      <w:pPr>
        <w:pStyle w:val="BodyText3"/>
        <w:spacing w:before="0" w:after="0"/>
        <w:rPr/>
      </w:pPr>
      <w:bookmarkStart w:id="64" w:name="_DV_M45"/>
      <w:bookmarkEnd w:id="64"/>
      <w:r>
        <w:rPr>
          <w:lang w:val="en-CA"/>
        </w:rPr>
        <w:t xml:space="preserve">THIS AGREEMENT WILL BE BINDING UPON YOU UPON SIGNATURE BELOW BY YOUR DULY AUTHORIZED REPRESENTATIVE (AND CONCURRENT EXECUTION OF THE CUSTOMER AUTHORIZATION STATEMENT).  UNDER THE RULES, HOWEVER, YOU HAVE </w:t>
      </w:r>
      <w:bookmarkStart w:id="65" w:name="_DV_C8"/>
      <w:r>
        <w:rPr>
          <w:rStyle w:val="DeltaViewDeletion"/>
          <w:color w:val="auto"/>
          <w:lang w:val="en-CA"/>
        </w:rPr>
        <w:t>UNTIL MIDNIGHT OF THE THIRD FEDERAL</w:t>
      </w:r>
      <w:bookmarkStart w:id="66" w:name="_DV_C9"/>
      <w:bookmarkEnd w:id="65"/>
      <w:r>
        <w:rPr>
          <w:rStyle w:val="DeltaViewInsertion"/>
          <w:color w:val="auto"/>
          <w:lang w:val="en-CA"/>
        </w:rPr>
        <w:t>FIVE</w:t>
      </w:r>
      <w:bookmarkStart w:id="67" w:name="_DV_M46"/>
      <w:bookmarkEnd w:id="66"/>
      <w:bookmarkEnd w:id="67"/>
      <w:r>
        <w:rPr>
          <w:lang w:val="en-CA"/>
        </w:rPr>
        <w:t xml:space="preserve"> BUSINESS </w:t>
      </w:r>
      <w:bookmarkStart w:id="68" w:name="_DV_C10"/>
      <w:r>
        <w:rPr>
          <w:rStyle w:val="DeltaViewDeletion"/>
          <w:color w:val="auto"/>
          <w:lang w:val="en-CA"/>
        </w:rPr>
        <w:t>DAY</w:t>
      </w:r>
      <w:bookmarkStart w:id="69" w:name="_DV_C11"/>
      <w:bookmarkEnd w:id="68"/>
      <w:r>
        <w:rPr>
          <w:rStyle w:val="DeltaViewInsertion"/>
          <w:color w:val="auto"/>
          <w:lang w:val="en-CA"/>
        </w:rPr>
        <w:t>DAYS</w:t>
      </w:r>
      <w:bookmarkStart w:id="70" w:name="_DV_M47"/>
      <w:bookmarkEnd w:id="69"/>
      <w:bookmarkEnd w:id="70"/>
      <w:r>
        <w:rPr>
          <w:lang w:val="en-CA"/>
        </w:rPr>
        <w:t xml:space="preserve"> FOLLOWING SUCH SIGNATURE (AND RECEIPT OF OUR </w:t>
      </w:r>
      <w:bookmarkStart w:id="71" w:name="_DV_C12"/>
      <w:r>
        <w:rPr>
          <w:rStyle w:val="DeltaViewDeletion"/>
          <w:color w:val="auto"/>
          <w:lang w:val="en-CA"/>
        </w:rPr>
        <w:t xml:space="preserve">ELECTRICITY FACTS LABEL, </w:t>
      </w:r>
      <w:bookmarkStart w:id="72" w:name="_DV_M48"/>
      <w:bookmarkEnd w:id="71"/>
      <w:bookmarkEnd w:id="72"/>
      <w:r>
        <w:rPr>
          <w:lang w:val="en-CA"/>
        </w:rPr>
        <w:t xml:space="preserve">TERMS OF SERVICE </w:t>
      </w:r>
      <w:bookmarkStart w:id="73" w:name="_DV_C13"/>
      <w:r>
        <w:rPr>
          <w:rStyle w:val="DeltaViewDeletion"/>
          <w:color w:val="auto"/>
          <w:lang w:val="en-CA"/>
        </w:rPr>
        <w:t>STATEMENT, “YOUR RIGHTS AS A CUSTOMER STATEMENT”</w:t>
      </w:r>
      <w:bookmarkStart w:id="74" w:name="_DV_C14"/>
      <w:bookmarkEnd w:id="73"/>
      <w:r>
        <w:rPr>
          <w:rStyle w:val="DeltaViewInsertion"/>
          <w:color w:val="auto"/>
          <w:lang w:val="en-CA"/>
        </w:rPr>
        <w:t>SUMMARY AND DISCLOSURE LABEL</w:t>
      </w:r>
      <w:bookmarkStart w:id="75" w:name="_DV_M49"/>
      <w:bookmarkEnd w:id="74"/>
      <w:bookmarkEnd w:id="75"/>
      <w:r>
        <w:rPr>
          <w:lang w:val="en-CA"/>
        </w:rPr>
        <w:t>, WHICH ARE PROVIDED HEREWITH) IN WHICH TO PROVIDE NOTICE TO US THAT YOU ELECT TO RESCIND, WITHOUT CHARGE OR PENALTY, YOUR CHOICE OF EESI AS YOUR COMPETITIVE SUPPLIER AND THIS AGREEMENT.  NO SIGNATURE BY US IS REQUIRED; PROVIDED, HOWEVER, THAT THIS AGREEMENT WILL NOT BECOME BINDING UPON US UNTIL COMPLETION OF (i) QUALITY CONTROL VERIFICATION AND (ii) A CREDIT CHECK OF YOU COMPLETELY SATISFACTORY TO US.  IF (i) AND/OR (ii) DO NOT OCCUR, OR IF YOU DO NOT PROVIDE THE CREDIT SUPPORT WE REQUIRE, WE WILL PROVIDE YOU WRITTEN NOTICE THEREOF WITHIN NOT MORE THAN 10 BUSINESS DAYS FROM THE EFFECTIVE DATE AND THIS AGREEMENT WILL BE VOID AND OF NO EFFECT, WITHOUT LIABILITY OF EITHER PARTY.</w:t>
      </w:r>
    </w:p>
    <w:p>
      <w:pPr>
        <w:pStyle w:val="BodyText3"/>
        <w:spacing w:before="0" w:after="0"/>
        <w:rPr>
          <w:lang w:val="en-CA"/>
        </w:rPr>
      </w:pPr>
      <w:r>
        <w:rPr>
          <w:lang w:val="en-CA"/>
        </w:rPr>
      </w:r>
    </w:p>
    <w:tbl>
      <w:tblPr>
        <w:tblW w:w="11430" w:type="dxa"/>
        <w:jc w:val="start"/>
        <w:tblInd w:w="108" w:type="dxa"/>
        <w:tblLayout w:type="fixed"/>
        <w:tblCellMar>
          <w:top w:w="0" w:type="dxa"/>
          <w:start w:w="108" w:type="dxa"/>
          <w:bottom w:w="0" w:type="dxa"/>
          <w:end w:w="108" w:type="dxa"/>
        </w:tblCellMar>
      </w:tblPr>
      <w:tblGrid>
        <w:gridCol w:w="2430"/>
        <w:gridCol w:w="4590"/>
        <w:gridCol w:w="2610"/>
        <w:gridCol w:w="1800"/>
      </w:tblGrid>
      <w:tr>
        <w:trPr/>
        <w:tc>
          <w:tcPr>
            <w:tcW w:w="9630" w:type="dxa"/>
            <w:gridSpan w:val="3"/>
            <w:tcBorders>
              <w:top w:val="single" w:sz="4" w:space="0" w:color="000000"/>
              <w:start w:val="single" w:sz="4" w:space="0" w:color="000000"/>
              <w:bottom w:val="single" w:sz="4" w:space="0" w:color="000000"/>
              <w:end w:val="single" w:sz="4" w:space="0" w:color="000000"/>
            </w:tcBorders>
          </w:tcPr>
          <w:p>
            <w:pPr>
              <w:pStyle w:val="Heading4"/>
              <w:keepNext w:val="false"/>
              <w:widowControl w:val="false"/>
              <w:snapToGrid w:val="false"/>
              <w:spacing w:before="0" w:after="0"/>
              <w:ind w:hanging="0" w:start="0"/>
              <w:jc w:val="both"/>
              <w:rPr>
                <w:rFonts w:ascii="Times New Roman" w:hAnsi="Times New Roman" w:cs="Times New Roman"/>
                <w:smallCaps/>
                <w:sz w:val="20"/>
                <w:u w:val="none"/>
              </w:rPr>
            </w:pPr>
            <w:r>
              <w:rPr>
                <w:rFonts w:cs="Times New Roman" w:ascii="Times New Roman" w:hAnsi="Times New Roman"/>
                <w:smallCaps/>
                <w:sz w:val="20"/>
                <w:u w:val="none"/>
              </w:rPr>
            </w:r>
          </w:p>
          <w:p>
            <w:pPr>
              <w:pStyle w:val="Heading4"/>
              <w:keepNext w:val="false"/>
              <w:widowControl w:val="false"/>
              <w:spacing w:before="0" w:after="0"/>
              <w:ind w:hanging="0" w:start="0"/>
              <w:jc w:val="both"/>
              <w:rPr>
                <w:rFonts w:ascii="Times New Roman" w:hAnsi="Times New Roman" w:cs="Times New Roman"/>
                <w:smallCaps/>
                <w:sz w:val="20"/>
                <w:u w:val="none"/>
              </w:rPr>
            </w:pPr>
            <w:r>
              <w:rPr>
                <w:rFonts w:cs="Times New Roman" w:ascii="Times New Roman" w:hAnsi="Times New Roman"/>
                <w:smallCaps/>
                <w:sz w:val="20"/>
                <w:u w:val="none"/>
              </w:rPr>
              <w:t>Authorized Signature:</w:t>
              <w:tab/>
              <w:tab/>
              <w:tab/>
              <w:tab/>
              <w:tab/>
              <w:t>Print:</w:t>
              <w:tab/>
              <w:tab/>
              <w:tab/>
              <w:tab/>
              <w:tab/>
            </w:r>
          </w:p>
        </w:tc>
        <w:tc>
          <w:tcPr>
            <w:tcW w:w="1800" w:type="dxa"/>
            <w:tcBorders>
              <w:top w:val="single" w:sz="4" w:space="0" w:color="000000"/>
              <w:start w:val="single" w:sz="4" w:space="0" w:color="000000"/>
              <w:bottom w:val="single" w:sz="4" w:space="0" w:color="000000"/>
              <w:end w:val="single" w:sz="4" w:space="0" w:color="000000"/>
            </w:tcBorders>
          </w:tcPr>
          <w:p>
            <w:pPr>
              <w:pStyle w:val="BodyText3"/>
              <w:snapToGrid w:val="false"/>
              <w:spacing w:before="0" w:after="0"/>
              <w:rPr>
                <w:rFonts w:ascii="Times New Roman" w:hAnsi="Times New Roman" w:cs="Times New Roman"/>
                <w:b/>
                <w:smallCaps/>
                <w:sz w:val="20"/>
                <w:u w:val="none"/>
              </w:rPr>
            </w:pPr>
            <w:r>
              <w:rPr>
                <w:rFonts w:cs="Times New Roman"/>
                <w:b/>
                <w:smallCaps/>
                <w:sz w:val="20"/>
                <w:u w:val="none"/>
              </w:rPr>
            </w:r>
          </w:p>
          <w:p>
            <w:pPr>
              <w:pStyle w:val="BodyText3"/>
              <w:spacing w:before="0" w:after="0"/>
              <w:rPr>
                <w:b/>
                <w:smallCaps/>
                <w:sz w:val="20"/>
              </w:rPr>
            </w:pPr>
            <w:r>
              <w:rPr>
                <w:b/>
                <w:smallCaps/>
                <w:sz w:val="20"/>
              </w:rPr>
              <w:t>date: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shd w:fill="000000" w:val="clear"/>
              <w:rPr/>
            </w:pPr>
            <w:bookmarkStart w:id="76" w:name="_DV_M50"/>
            <w:bookmarkEnd w:id="76"/>
            <w:r>
              <w:rPr>
                <w:smallCaps/>
                <w:sz w:val="14"/>
              </w:rPr>
              <w:t xml:space="preserve">Form Enron Direct  </w:t>
            </w:r>
            <w:bookmarkStart w:id="77" w:name="_DV_C15"/>
            <w:r>
              <w:rPr>
                <w:rStyle w:val="DeltaViewDeletion"/>
                <w:smallCaps/>
                <w:color w:val="auto"/>
                <w:sz w:val="14"/>
              </w:rPr>
              <w:t>TX</w:t>
            </w:r>
            <w:bookmarkStart w:id="78" w:name="_DV_C16"/>
            <w:bookmarkEnd w:id="77"/>
            <w:r>
              <w:rPr>
                <w:rStyle w:val="DeltaViewInsertion"/>
                <w:smallCaps/>
                <w:color w:val="auto"/>
                <w:sz w:val="14"/>
              </w:rPr>
              <w:t>ME</w:t>
            </w:r>
            <w:bookmarkStart w:id="79" w:name="_DV_M51"/>
            <w:bookmarkEnd w:id="78"/>
            <w:bookmarkEnd w:id="79"/>
            <w:r>
              <w:rPr>
                <w:smallCaps/>
                <w:sz w:val="14"/>
              </w:rPr>
              <w:t xml:space="preserve"> </w:t>
            </w:r>
            <w:bookmarkStart w:id="80" w:name="_DV_C17"/>
            <w:r>
              <w:rPr>
                <w:rStyle w:val="DeltaViewDeletion"/>
                <w:smallCaps/>
                <w:color w:val="auto"/>
                <w:sz w:val="14"/>
              </w:rPr>
              <w:t>07</w:t>
            </w:r>
            <w:bookmarkStart w:id="81" w:name="_DV_C18"/>
            <w:bookmarkEnd w:id="80"/>
            <w:r>
              <w:rPr>
                <w:rStyle w:val="DeltaViewInsertion"/>
                <w:smallCaps/>
                <w:color w:val="auto"/>
                <w:sz w:val="14"/>
              </w:rPr>
              <w:t>08</w:t>
            </w:r>
            <w:bookmarkStart w:id="82" w:name="_DV_M52"/>
            <w:bookmarkEnd w:id="81"/>
            <w:bookmarkEnd w:id="82"/>
            <w:r>
              <w:rPr>
                <w:smallCaps/>
                <w:sz w:val="14"/>
              </w:rPr>
              <w:t>/</w:t>
            </w:r>
            <w:bookmarkStart w:id="83" w:name="_DV_C19"/>
            <w:r>
              <w:rPr>
                <w:rStyle w:val="DeltaViewDeletion"/>
                <w:smallCaps/>
                <w:color w:val="auto"/>
                <w:sz w:val="14"/>
              </w:rPr>
              <w:t>26</w:t>
            </w:r>
            <w:bookmarkStart w:id="84" w:name="_DV_C20"/>
            <w:bookmarkEnd w:id="83"/>
            <w:r>
              <w:rPr>
                <w:rStyle w:val="DeltaViewInsertion"/>
                <w:smallCaps/>
                <w:color w:val="auto"/>
                <w:sz w:val="14"/>
              </w:rPr>
              <w:t>08</w:t>
            </w:r>
            <w:bookmarkStart w:id="85" w:name="_DV_M53"/>
            <w:bookmarkEnd w:id="84"/>
            <w:bookmarkEnd w:id="85"/>
            <w:r>
              <w:rPr>
                <w:smallCaps/>
                <w:sz w:val="14"/>
              </w:rPr>
              <w:t>/01</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val="false"/>
              <w:shd w:fill="000000" w:val="clear"/>
              <w:rPr/>
            </w:pPr>
            <w:bookmarkStart w:id="86" w:name="_DV_M54"/>
            <w:bookmarkEnd w:id="86"/>
            <w:r>
              <w:rPr>
                <w:smallCaps/>
                <w:sz w:val="14"/>
              </w:rPr>
              <w:t xml:space="preserve">OUR REPRESENTATIVE’S ID#:  </w:t>
            </w:r>
            <w:r>
              <w:rPr>
                <w:smallCaps/>
                <w:sz w:val="14"/>
                <w:u w:val="single"/>
              </w:rPr>
              <w:tab/>
              <w:tab/>
              <w:tab/>
              <w:tab/>
            </w:r>
          </w:p>
        </w:tc>
        <w:tc>
          <w:tcPr>
            <w:tcW w:w="441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hd w:fill="000000" w:val="clear"/>
              <w:rPr/>
            </w:pPr>
            <w:bookmarkStart w:id="87" w:name="_DV_M55"/>
            <w:bookmarkEnd w:id="87"/>
            <w:r>
              <w:rPr>
                <w:smallCaps/>
                <w:sz w:val="14"/>
              </w:rPr>
              <w:t xml:space="preserve">QCV#: FOR INTERNAL USE ONLY  </w:t>
            </w:r>
            <w:r>
              <w:rPr>
                <w:smallCaps/>
                <w:sz w:val="14"/>
                <w:u w:val="single"/>
              </w:rPr>
              <w:tab/>
              <w:tab/>
            </w:r>
          </w:p>
        </w:tc>
      </w:tr>
      <w:tr>
        <w:trPr/>
        <w:tc>
          <w:tcPr>
            <w:tcW w:w="11430" w:type="dxa"/>
            <w:gridSpan w:val="4"/>
            <w:tcBorders/>
            <w:shd w:fill="E5E5E5" w:val="clear"/>
          </w:tcPr>
          <w:p>
            <w:pPr>
              <w:pStyle w:val="Heading9"/>
              <w:keepNext w:val="false"/>
              <w:widowControl w:val="false"/>
              <w:rPr>
                <w:sz w:val="18"/>
              </w:rPr>
            </w:pPr>
            <w:r>
              <w:rPr>
                <w:sz w:val="18"/>
              </w:rPr>
              <w:t xml:space="preserve">Any questions or inquiries regarding this agreement may be directed to our service representative at (800) 837-9584 </w:t>
            </w:r>
          </w:p>
        </w:tc>
      </w:tr>
    </w:tbl>
    <w:p>
      <w:pPr>
        <w:pStyle w:val="Normal"/>
        <w:rPr>
          <w:b/>
          <w:smallCaps/>
          <w:sz w:val="2"/>
          <w:lang w:val="en-CA"/>
        </w:rPr>
      </w:pPr>
      <w:r>
        <w:br w:type="page"/>
      </w:r>
      <w:r>
        <w:rPr>
          <w:b/>
          <w:smallCaps/>
          <w:sz w:val="2"/>
          <w:lang w:val="en-CA"/>
        </w:rPr>
      </w:r>
    </w:p>
    <w:tbl>
      <w:tblPr>
        <w:tblW w:w="11340" w:type="dxa"/>
        <w:jc w:val="start"/>
        <w:tblInd w:w="108" w:type="dxa"/>
        <w:tblLayout w:type="fixed"/>
        <w:tblCellMar>
          <w:top w:w="0" w:type="dxa"/>
          <w:start w:w="108" w:type="dxa"/>
          <w:bottom w:w="0" w:type="dxa"/>
          <w:end w:w="108" w:type="dxa"/>
        </w:tblCellMar>
      </w:tblPr>
      <w:tblGrid>
        <w:gridCol w:w="11340"/>
      </w:tblGrid>
      <w:tr>
        <w:trPr>
          <w:trHeight w:val="23" w:hRule="atLeast"/>
        </w:trPr>
        <w:tc>
          <w:tcPr>
            <w:tcW w:w="11340" w:type="dxa"/>
            <w:tcBorders/>
            <w:shd w:fill="333333" w:val="clear"/>
          </w:tcPr>
          <w:p>
            <w:pPr>
              <w:pStyle w:val="Heading7"/>
              <w:keepNext w:val="false"/>
              <w:widowControl w:val="false"/>
              <w:pBdr>
                <w:top w:val="single" w:sz="4" w:space="1" w:color="000000"/>
                <w:left w:val="single" w:sz="4" w:space="4" w:color="000000"/>
                <w:bottom w:val="single" w:sz="4" w:space="1" w:color="000000"/>
                <w:right w:val="single" w:sz="4" w:space="4" w:color="000000"/>
              </w:pBdr>
              <w:spacing w:lineRule="auto" w:line="240"/>
              <w:rPr>
                <w:rFonts w:ascii="Times New Roman" w:hAnsi="Times New Roman" w:cs="Times New Roman"/>
                <w:sz w:val="14"/>
              </w:rPr>
            </w:pPr>
            <w:bookmarkStart w:id="88" w:name="_DV_M56"/>
            <w:bookmarkEnd w:id="88"/>
            <w:r>
              <w:rPr>
                <w:rFonts w:cs="Times New Roman" w:ascii="Times New Roman" w:hAnsi="Times New Roman"/>
                <w:sz w:val="14"/>
              </w:rPr>
              <w:t>DEFINITIONS</w:t>
            </w:r>
          </w:p>
        </w:tc>
      </w:tr>
    </w:tbl>
    <w:p>
      <w:pPr>
        <w:pStyle w:val="Normal"/>
        <w:jc w:val="both"/>
        <w:rPr/>
      </w:pPr>
      <w:bookmarkStart w:id="89" w:name="_DV_M57"/>
      <w:bookmarkEnd w:id="89"/>
      <w:r>
        <w:rPr>
          <w:sz w:val="14"/>
          <w:lang w:val="en-CA"/>
        </w:rPr>
        <w:t>"</w:t>
      </w:r>
      <w:r>
        <w:rPr>
          <w:b/>
          <w:sz w:val="14"/>
          <w:u w:val="single"/>
          <w:lang w:val="en-CA"/>
        </w:rPr>
        <w:t>Competitive Supplier</w:t>
      </w:r>
      <w:r>
        <w:rPr>
          <w:sz w:val="14"/>
          <w:lang w:val="en-CA"/>
        </w:rPr>
        <w:t xml:space="preserve">" means a retail electric energy supplier or electric service provider, however designated or defined,  under applicable Law and Rules. </w:t>
      </w:r>
    </w:p>
    <w:p>
      <w:pPr>
        <w:pStyle w:val="Normal"/>
        <w:jc w:val="both"/>
        <w:rPr/>
      </w:pPr>
      <w:bookmarkStart w:id="90" w:name="_DV_M58"/>
      <w:bookmarkEnd w:id="90"/>
      <w:r>
        <w:rPr>
          <w:sz w:val="14"/>
          <w:lang w:val="en-CA"/>
        </w:rPr>
        <w:t>"</w:t>
      </w:r>
      <w:r>
        <w:rPr>
          <w:b/>
          <w:sz w:val="14"/>
          <w:u w:val="single"/>
          <w:lang w:val="en-CA"/>
        </w:rPr>
        <w:t>Energy Imbalance Charges</w:t>
      </w:r>
      <w:r>
        <w:rPr>
          <w:sz w:val="14"/>
          <w:lang w:val="en-CA"/>
        </w:rPr>
        <w:t>" means charges imposed by a Utility or ISO (including excess costs of energy and losses due to Utility or ISO cash-outs or excess energy purchases) in the event that (i) your energy requirements vary from the amount of energy supplied by us or (ii) you fail to comply with a Utility Curtailment Notice.</w:t>
      </w:r>
    </w:p>
    <w:p>
      <w:pPr>
        <w:pStyle w:val="Normal"/>
        <w:jc w:val="both"/>
        <w:rPr/>
      </w:pPr>
      <w:bookmarkStart w:id="91" w:name="_DV_M59"/>
      <w:bookmarkEnd w:id="91"/>
      <w:r>
        <w:rPr>
          <w:sz w:val="14"/>
          <w:lang w:val="en-CA"/>
        </w:rPr>
        <w:t>"</w:t>
      </w:r>
      <w:r>
        <w:rPr>
          <w:b/>
          <w:sz w:val="14"/>
          <w:u w:val="single"/>
          <w:lang w:val="en-CA"/>
        </w:rPr>
        <w:t>Force Majeure</w:t>
      </w:r>
      <w:r>
        <w:rPr>
          <w:sz w:val="14"/>
          <w:lang w:val="en-CA"/>
        </w:rPr>
        <w:t>"</w:t>
      </w:r>
      <w:r>
        <w:rPr>
          <w:b/>
          <w:sz w:val="14"/>
          <w:lang w:val="en-CA"/>
        </w:rPr>
        <w:t xml:space="preserve"> </w:t>
      </w:r>
      <w:r>
        <w:rPr>
          <w:sz w:val="14"/>
          <w:lang w:val="en-CA"/>
        </w:rPr>
        <w:t>means an event which is not within the reasonable control of a Party, and which by the exercise of due diligence the affected Party is unable to overcome or obtain or cause to be obtained a commercially reasonable substitute therefor.  Force Majeure includes, without limitation, (i) an event of force majeure occurring with respect to a Utility or ISO and (ii) suspension, curtailment or interruption of service by a Utility or ISO.</w:t>
      </w:r>
    </w:p>
    <w:p>
      <w:pPr>
        <w:pStyle w:val="Normal"/>
        <w:jc w:val="both"/>
        <w:rPr/>
      </w:pPr>
      <w:bookmarkStart w:id="92" w:name="_DV_M60"/>
      <w:bookmarkEnd w:id="92"/>
      <w:r>
        <w:rPr>
          <w:sz w:val="14"/>
          <w:lang w:val="en-CA"/>
        </w:rPr>
        <w:t>"</w:t>
      </w:r>
      <w:r>
        <w:rPr>
          <w:b/>
          <w:sz w:val="14"/>
          <w:u w:val="single"/>
          <w:lang w:val="en-CA"/>
        </w:rPr>
        <w:t>ISO</w:t>
      </w:r>
      <w:r>
        <w:rPr>
          <w:sz w:val="14"/>
          <w:lang w:val="en-CA"/>
        </w:rPr>
        <w:t>"</w:t>
      </w:r>
      <w:r>
        <w:rPr>
          <w:b/>
          <w:sz w:val="14"/>
          <w:lang w:val="en-CA"/>
        </w:rPr>
        <w:t xml:space="preserve"> </w:t>
      </w:r>
      <w:r>
        <w:rPr>
          <w:sz w:val="14"/>
          <w:lang w:val="en-CA"/>
        </w:rPr>
        <w:t>means any independent system operator, regional transmission operator, "transco," power pool or grid or control area operator established and providing services to the Facility or other similar entity providing the same basic services as such entities and any successor thereto.</w:t>
      </w:r>
    </w:p>
    <w:p>
      <w:pPr>
        <w:pStyle w:val="Normal"/>
        <w:jc w:val="both"/>
        <w:rPr/>
      </w:pPr>
      <w:bookmarkStart w:id="93" w:name="_DV_M61"/>
      <w:bookmarkEnd w:id="93"/>
      <w:r>
        <w:rPr>
          <w:sz w:val="14"/>
          <w:lang w:val="en-CA"/>
        </w:rPr>
        <w:t>"</w:t>
      </w:r>
      <w:r>
        <w:rPr>
          <w:b/>
          <w:sz w:val="14"/>
          <w:u w:val="single"/>
          <w:lang w:val="en-CA"/>
        </w:rPr>
        <w:t>Law</w:t>
      </w:r>
      <w:r>
        <w:rPr>
          <w:sz w:val="14"/>
          <w:lang w:val="en-CA"/>
        </w:rPr>
        <w:t>" means any applicable statute, law (including common law), ordinance, rule, regulation, ruling,  order, writ, injunction, judgment, decree, directive, policy or other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jc w:val="both"/>
        <w:rPr/>
      </w:pPr>
      <w:bookmarkStart w:id="94" w:name="_DV_M62"/>
      <w:bookmarkEnd w:id="94"/>
      <w:r>
        <w:rPr>
          <w:sz w:val="14"/>
          <w:lang w:val="en-CA"/>
        </w:rPr>
        <w:t>"</w:t>
      </w:r>
      <w:r>
        <w:rPr>
          <w:b/>
          <w:sz w:val="14"/>
          <w:u w:val="single"/>
          <w:lang w:val="en-CA"/>
        </w:rPr>
        <w:t>Rules</w:t>
      </w:r>
      <w:r>
        <w:rPr>
          <w:sz w:val="14"/>
          <w:lang w:val="en-CA"/>
        </w:rPr>
        <w:t>" means as applicable, the interim or final requirements, tariffs, rules, orders, regulations and procedures authorized or established by the applicable governmental authority that affect the sale and delivery of energy by Competitive Suppliers.</w:t>
      </w:r>
    </w:p>
    <w:p>
      <w:pPr>
        <w:pStyle w:val="Normal"/>
        <w:jc w:val="both"/>
        <w:rPr/>
      </w:pPr>
      <w:bookmarkStart w:id="95" w:name="_DV_M63"/>
      <w:bookmarkEnd w:id="95"/>
      <w:r>
        <w:rPr>
          <w:sz w:val="14"/>
          <w:lang w:val="en-CA"/>
        </w:rPr>
        <w:t>"</w:t>
      </w:r>
      <w:r>
        <w:rPr>
          <w:b/>
          <w:sz w:val="14"/>
          <w:u w:val="single"/>
          <w:lang w:val="en-CA"/>
        </w:rPr>
        <w:t>Taxes</w:t>
      </w:r>
      <w:r>
        <w:rPr>
          <w:sz w:val="14"/>
          <w:lang w:val="en-CA"/>
        </w:rPr>
        <w:t>" means all taxes, assessments, levies, duties, fees, charges or</w:t>
      </w:r>
      <w:r>
        <w:rPr>
          <w:b/>
          <w:sz w:val="14"/>
          <w:lang w:val="en-CA"/>
        </w:rPr>
        <w:t xml:space="preserve"> </w:t>
      </w:r>
      <w:r>
        <w:rPr>
          <w:sz w:val="14"/>
          <w:lang w:val="en-CA"/>
        </w:rPr>
        <w:t>withholdings of any kind whatsoever and all penalties, fines, additions to tax, or interest thereon, but excluding any taxes on net income.</w:t>
      </w:r>
    </w:p>
    <w:p>
      <w:pPr>
        <w:pStyle w:val="Normal"/>
        <w:jc w:val="both"/>
        <w:rPr/>
      </w:pPr>
      <w:bookmarkStart w:id="96" w:name="_DV_M64"/>
      <w:bookmarkEnd w:id="96"/>
      <w:r>
        <w:rPr>
          <w:sz w:val="14"/>
          <w:lang w:val="en-CA"/>
        </w:rPr>
        <w:t>"</w:t>
      </w:r>
      <w:r>
        <w:rPr>
          <w:b/>
          <w:sz w:val="14"/>
          <w:u w:val="single"/>
          <w:lang w:val="en-CA"/>
        </w:rPr>
        <w:t>Utility</w:t>
      </w:r>
      <w:r>
        <w:rPr>
          <w:sz w:val="14"/>
          <w:lang w:val="en-CA"/>
        </w:rPr>
        <w:t>" means an electricity utility distribution company or other provider of tariffed services to the Facility, including any "standard offer provider" or "provider of last resort" (as defined under applicable Law and Rules).</w:t>
      </w:r>
    </w:p>
    <w:p>
      <w:pPr>
        <w:pStyle w:val="Normal"/>
        <w:jc w:val="both"/>
        <w:rPr/>
      </w:pPr>
      <w:bookmarkStart w:id="97" w:name="_DV_M65"/>
      <w:bookmarkEnd w:id="97"/>
      <w:r>
        <w:rPr>
          <w:sz w:val="14"/>
          <w:lang w:val="en-CA"/>
        </w:rPr>
        <w:t>“</w:t>
      </w:r>
      <w:r>
        <w:rPr>
          <w:b/>
          <w:sz w:val="14"/>
          <w:u w:val="single"/>
          <w:lang w:val="en-CA"/>
        </w:rPr>
        <w:t>Utility Transfer Date</w:t>
      </w:r>
      <w:r>
        <w:rPr/>
        <w:t>” means 00:00:01 on the day immediately following the date as of which the Utility for each Facility has completed all steps necessary to permit us to start providing the services at the beginning of the Term or stop providing such services at the end of the Term.  Such steps by the Utility include, as necessary and without limitation, recognizing us as your Competitive Supplier and/or limited agent and processing and acting on direct access service requests.</w:t>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Heading7"/>
              <w:keepNext w:val="false"/>
              <w:widowControl w:val="false"/>
              <w:spacing w:lineRule="auto" w:line="240"/>
              <w:rPr>
                <w:rFonts w:ascii="Times New Roman" w:hAnsi="Times New Roman" w:cs="Times New Roman"/>
                <w:sz w:val="14"/>
              </w:rPr>
            </w:pPr>
            <w:bookmarkStart w:id="98" w:name="_DV_M66"/>
            <w:bookmarkEnd w:id="98"/>
            <w:r>
              <w:rPr>
                <w:rFonts w:cs="Times New Roman" w:ascii="Times New Roman" w:hAnsi="Times New Roman"/>
                <w:sz w:val="14"/>
              </w:rPr>
              <w:t>GENERAL TERMS AND CONDITIONS (“GTCs”)</w:t>
            </w:r>
          </w:p>
        </w:tc>
      </w:tr>
    </w:tbl>
    <w:p>
      <w:pPr>
        <w:pStyle w:val="Normal"/>
        <w:widowControl w:val="false"/>
        <w:jc w:val="both"/>
        <w:rPr/>
      </w:pPr>
      <w:bookmarkStart w:id="99" w:name="_DV_M67"/>
      <w:bookmarkEnd w:id="99"/>
      <w:r>
        <w:rPr>
          <w:b/>
          <w:sz w:val="14"/>
          <w:u w:val="single"/>
          <w:lang w:val="en-CA"/>
        </w:rPr>
        <w:t>Representations and Warranties</w:t>
      </w:r>
      <w:r>
        <w:rPr>
          <w:b/>
          <w:sz w:val="14"/>
          <w:lang w:val="en-CA"/>
        </w:rPr>
        <w:t>.</w:t>
      </w:r>
      <w:r>
        <w:rPr>
          <w:sz w:val="14"/>
          <w:lang w:val="en-CA"/>
        </w:rPr>
        <w:t xml:space="preserve">  On the Effective Date and throughout the Term, each Party represents and warrants to the other Party that: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and (v) there are no suits, proceedings, judgments, rulings or orders by or before any court or any governmental authority that could materially adversely affect its ability to perform this Agreement.  You additionally represent and warrant that you have received the </w:t>
      </w:r>
      <w:bookmarkStart w:id="100" w:name="_DV_C21"/>
      <w:r>
        <w:rPr>
          <w:rStyle w:val="DeltaViewDeletion"/>
          <w:color w:val="auto"/>
          <w:sz w:val="14"/>
          <w:lang w:val="en-CA"/>
        </w:rPr>
        <w:t xml:space="preserve">customer authorization statement </w:t>
      </w:r>
      <w:r>
        <w:rPr>
          <w:rStyle w:val="DeltaViewDeletion"/>
          <w:b/>
          <w:color w:val="auto"/>
          <w:sz w:val="14"/>
          <w:lang w:val="en-CA"/>
        </w:rPr>
        <w:t>[??]</w:t>
      </w:r>
      <w:r>
        <w:rPr>
          <w:rStyle w:val="DeltaViewDeletion"/>
          <w:color w:val="auto"/>
          <w:sz w:val="14"/>
          <w:lang w:val="en-CA"/>
        </w:rPr>
        <w:t xml:space="preserve">,  electricity facts label, </w:t>
      </w:r>
      <w:bookmarkStart w:id="101" w:name="_DV_M68"/>
      <w:bookmarkEnd w:id="100"/>
      <w:bookmarkEnd w:id="101"/>
      <w:r>
        <w:rPr>
          <w:sz w:val="14"/>
          <w:lang w:val="en-CA"/>
        </w:rPr>
        <w:t>terms of service statement</w:t>
      </w:r>
      <w:bookmarkStart w:id="102" w:name="_DV_C22"/>
      <w:r>
        <w:rPr>
          <w:rStyle w:val="DeltaViewDeletion"/>
          <w:color w:val="auto"/>
          <w:sz w:val="14"/>
          <w:lang w:val="en-CA"/>
        </w:rPr>
        <w:t>,</w:t>
      </w:r>
      <w:bookmarkStart w:id="103" w:name="_DV_M69"/>
      <w:bookmarkEnd w:id="102"/>
      <w:bookmarkEnd w:id="103"/>
      <w:r>
        <w:rPr>
          <w:sz w:val="14"/>
          <w:lang w:val="en-CA"/>
        </w:rPr>
        <w:t xml:space="preserve"> and </w:t>
      </w:r>
      <w:bookmarkStart w:id="104" w:name="_DV_C23"/>
      <w:r>
        <w:rPr>
          <w:rStyle w:val="DeltaViewDeletion"/>
          <w:color w:val="auto"/>
          <w:sz w:val="14"/>
          <w:lang w:val="en-CA"/>
        </w:rPr>
        <w:t>“Your Right as a Customer Statement”</w:t>
      </w:r>
      <w:bookmarkStart w:id="105" w:name="_DV_C24"/>
      <w:bookmarkEnd w:id="104"/>
      <w:r>
        <w:rPr>
          <w:rStyle w:val="DeltaViewInsertion"/>
          <w:color w:val="auto"/>
          <w:sz w:val="14"/>
          <w:lang w:val="en-CA"/>
        </w:rPr>
        <w:t>disclosure label</w:t>
      </w:r>
      <w:bookmarkStart w:id="106" w:name="_DV_M70"/>
      <w:bookmarkEnd w:id="105"/>
      <w:bookmarkEnd w:id="106"/>
      <w:r>
        <w:rPr>
          <w:sz w:val="14"/>
          <w:lang w:val="en-CA"/>
        </w:rPr>
        <w:t xml:space="preserve"> provided by us in accordance with applicable Law and Rules, your annual </w:t>
      </w:r>
      <w:bookmarkStart w:id="107" w:name="_DV_C26"/>
      <w:r>
        <w:rPr>
          <w:rStyle w:val="DeltaViewInsertion"/>
          <w:b w:val="false"/>
          <w:color w:val="auto"/>
          <w:sz w:val="14"/>
          <w:u w:val="none"/>
          <w:lang w:val="en-CA"/>
        </w:rPr>
        <w:t>electric</w:t>
      </w:r>
      <w:bookmarkStart w:id="108" w:name="_DV_M71"/>
      <w:bookmarkEnd w:id="107"/>
      <w:bookmarkEnd w:id="108"/>
      <w:r>
        <w:rPr>
          <w:rStyle w:val="DeltaViewInsertion"/>
          <w:b w:val="false"/>
          <w:color w:val="auto"/>
          <w:sz w:val="14"/>
          <w:u w:val="none"/>
          <w:lang w:val="en-CA"/>
        </w:rPr>
        <w:t>al</w:t>
      </w:r>
      <w:r>
        <w:rPr>
          <w:sz w:val="14"/>
          <w:lang w:val="en-CA"/>
        </w:rPr>
        <w:t xml:space="preserve"> consumption is less than 2,500,000 kWh, you are not a "residential customer" under applicable Law and Rules and you have knowledge and experience in business matters that enable you to evaluate the merits and risks of entering into this Agreement.</w:t>
      </w:r>
    </w:p>
    <w:p>
      <w:pPr>
        <w:pStyle w:val="Normal"/>
        <w:widowControl w:val="false"/>
        <w:jc w:val="both"/>
        <w:rPr/>
      </w:pPr>
      <w:bookmarkStart w:id="109" w:name="_DV_M72"/>
      <w:bookmarkEnd w:id="109"/>
      <w:r>
        <w:rPr>
          <w:b/>
          <w:sz w:val="14"/>
          <w:u w:val="single"/>
          <w:lang w:val="en-CA"/>
        </w:rPr>
        <w:t>Assignment and Binding Effect</w:t>
      </w:r>
      <w:r>
        <w:rPr>
          <w:b/>
          <w:sz w:val="14"/>
          <w:lang w:val="en-CA"/>
        </w:rPr>
        <w:t>.</w:t>
      </w:r>
      <w:r>
        <w:rPr>
          <w:sz w:val="14"/>
          <w:lang w:val="en-CA"/>
        </w:rPr>
        <w:t xml:space="preserve">  Neither Party will assign this Agreement or any of its rights or obligations hereunder without the other Party's prior written consent, which consent will not be unreasonably withheld or delayed.  Notwithstanding the foregoing, we may without your consent (i) assign this Agreement or the accounts, revenues or proceeds hereof in connection with any financing; (ii) assign this Agreement, in whole or in part, to one of our affiliates; or (iii) assign this Agreement to any entity succeeding to all or substantially all of our assets </w:t>
      </w:r>
      <w:r>
        <w:rPr>
          <w:sz w:val="14"/>
          <w:u w:val="single"/>
          <w:lang w:val="en-CA"/>
        </w:rPr>
        <w:t>provided</w:t>
      </w:r>
      <w:r>
        <w:rPr>
          <w:sz w:val="14"/>
          <w:lang w:val="en-CA"/>
        </w:rPr>
        <w:t xml:space="preserve">, in the case of clauses (ii) and (iii), any such assignee will (A) have a reasonably demonstrable capability to perform all of its assignor's obligations under this Agreement and (B)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hereunder. </w:t>
      </w:r>
    </w:p>
    <w:p>
      <w:pPr>
        <w:pStyle w:val="Normal"/>
        <w:widowControl w:val="false"/>
        <w:jc w:val="both"/>
        <w:rPr/>
      </w:pPr>
      <w:bookmarkStart w:id="110" w:name="_DV_M73"/>
      <w:bookmarkEnd w:id="110"/>
      <w:r>
        <w:rPr>
          <w:b/>
          <w:sz w:val="14"/>
          <w:u w:val="single"/>
          <w:lang w:val="en-CA"/>
        </w:rPr>
        <w:t>Default and Early Termination</w:t>
      </w:r>
      <w:r>
        <w:rPr>
          <w:b/>
          <w:sz w:val="14"/>
          <w:lang w:val="en-CA"/>
        </w:rPr>
        <w:t>.</w:t>
      </w:r>
      <w:r>
        <w:rPr>
          <w:sz w:val="14"/>
          <w:lang w:val="en-CA"/>
        </w:rPr>
        <w:t xml:space="preserve">  Either Party may terminate this Agreement on </w:t>
      </w:r>
      <w:bookmarkStart w:id="111" w:name="_DV_C27"/>
      <w:r>
        <w:rPr>
          <w:rStyle w:val="DeltaViewDeletion"/>
          <w:color w:val="auto"/>
          <w:sz w:val="14"/>
          <w:lang w:val="en-CA"/>
        </w:rPr>
        <w:t>15</w:t>
      </w:r>
      <w:bookmarkStart w:id="112" w:name="_DV_C28"/>
      <w:bookmarkEnd w:id="111"/>
      <w:r>
        <w:rPr>
          <w:rStyle w:val="DeltaViewInsertion"/>
          <w:color w:val="auto"/>
          <w:sz w:val="14"/>
          <w:lang w:val="en-CA"/>
        </w:rPr>
        <w:t>30</w:t>
      </w:r>
      <w:bookmarkStart w:id="113" w:name="_DV_M74"/>
      <w:bookmarkEnd w:id="112"/>
      <w:bookmarkEnd w:id="113"/>
      <w:r>
        <w:rPr>
          <w:sz w:val="14"/>
          <w:lang w:val="en-CA"/>
        </w:rPr>
        <w:t xml:space="preserve"> days written notice if: (i) the other Party fails to make, when due, any payment required under this Agreement if such failure is not remedied within 3 days after written notice thereof; (ii) any representation or warranty made by such Party herein is false or misleading in any material respect when made or when deemed made or repeated; (iii) the other Party fails to perform any material obligation under this Agreement, and such failure is not excused by Force Majeure or remedied within 30 days after written notice thereof; (iv) the other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We may terminate this Agreement upon notice to you if you fail to post, maintain or renew collateral.  Upon termination, the terminating Party will be entitled, as its sole and exclusive remedy, to obtain from the defaulting Party its actual damages, if any, calculated as the difference between the projected value of this Agreement to the terminating Party for the remaining Term at the Energy Charge and the value of the same projected quantities of energy for such term at a current market rate, each determined in a commercially reasonable manner.  Upon such termination, the non-defaulting Party may setoff, against any amounts owed or accrued and payable to the defaulting Party by the non-defaulting Party or any of its affiliates under this Agreement or under any other agreement(s), instrument(s) or undertaking(s) (“</w:t>
      </w:r>
      <w:r>
        <w:rPr>
          <w:sz w:val="14"/>
          <w:u w:val="single"/>
          <w:lang w:val="en-CA"/>
        </w:rPr>
        <w:t>Other Obligations</w:t>
      </w:r>
      <w:r>
        <w:rPr>
          <w:sz w:val="14"/>
          <w:lang w:val="en-CA"/>
        </w:rPr>
        <w:t>”), any amounts owed by the defaulting Party to the non-defaulting Party or any of its affiliates under this Agreement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w:t>
      </w:r>
    </w:p>
    <w:p>
      <w:pPr>
        <w:pStyle w:val="Normal"/>
        <w:widowControl w:val="false"/>
        <w:jc w:val="both"/>
        <w:rPr/>
      </w:pPr>
      <w:bookmarkStart w:id="114" w:name="_DV_M75"/>
      <w:bookmarkEnd w:id="114"/>
      <w:r>
        <w:rPr>
          <w:b/>
          <w:sz w:val="14"/>
          <w:u w:val="single"/>
          <w:lang w:val="en-CA"/>
        </w:rPr>
        <w:t>Other Early Termination</w:t>
      </w:r>
      <w:r>
        <w:rPr>
          <w:b/>
          <w:sz w:val="14"/>
          <w:lang w:val="en-CA"/>
        </w:rPr>
        <w:t xml:space="preserve">.  </w:t>
      </w:r>
      <w:r>
        <w:rPr>
          <w:sz w:val="14"/>
          <w:lang w:val="en-CA"/>
        </w:rPr>
        <w:t>We may additionally terminate this Agreement without further liability of either Party, upon 30 days prior notice if (i) we are deemed to be a public utility, (ii) applicable Law or Rules change and result in this Agreement being illegal or unenforceable, or we are, as result of such change, no longer permitted to sell energy to you or (iii) if the Utility fails or refuses to perform its obligations to you or us, including failure to effect a Utility Transfer Date within six (6) months of the Effective Date.</w:t>
      </w:r>
    </w:p>
    <w:p>
      <w:pPr>
        <w:pStyle w:val="Normal"/>
        <w:widowControl w:val="false"/>
        <w:jc w:val="both"/>
        <w:rPr>
          <w:b/>
          <w:sz w:val="14"/>
          <w:lang w:val="en-CA"/>
        </w:rPr>
      </w:pPr>
      <w:bookmarkStart w:id="115" w:name="_DV_M76"/>
      <w:bookmarkEnd w:id="115"/>
      <w:r>
        <w:rPr>
          <w:b/>
          <w:sz w:val="14"/>
          <w:u w:val="single"/>
          <w:lang w:val="en-CA"/>
        </w:rPr>
        <w:t>Forward Contract</w:t>
      </w:r>
      <w:r>
        <w:rPr>
          <w:sz w:val="14"/>
          <w:lang w:val="en-CA"/>
        </w:rPr>
        <w:t>.</w:t>
      </w:r>
      <w:r>
        <w:rPr>
          <w:b/>
          <w:sz w:val="14"/>
          <w:lang w:val="en-CA"/>
        </w:rPr>
        <w:t xml:space="preserve">  </w:t>
      </w:r>
      <w:r>
        <w:rPr>
          <w:sz w:val="14"/>
          <w:lang w:val="en-CA"/>
        </w:rPr>
        <w:t>Without limiting the applicability of any other provision of the U.S. Bankruptcy Code as amended (the “</w:t>
      </w:r>
      <w:r>
        <w:rPr>
          <w:sz w:val="14"/>
          <w:u w:val="single"/>
          <w:lang w:val="en-CA"/>
        </w:rPr>
        <w:t>Bankruptcy Code</w:t>
      </w:r>
      <w:r>
        <w:rPr>
          <w:sz w:val="14"/>
          <w:lang w:val="en-CA"/>
        </w:rPr>
        <w:t>”), the Parties acknowledge and agree that (i) all transactions under this Agreement will constitute “forward contracts” as defined in Section 101(25) of the Bankruptcy Code, (ii) we are a forward contract merchant, (iii) that the rights of the Parties under the termination provisions of this Agreement will constitute contractual rights to liquidate transactions, (iv) that any payment related hereto will constitute a “settlement payment” as defined in Bankruptcy Code Section 101 (51A), and (v) that the Parties are entitled to the rights under and protections afforded by Bankruptcy Code Sections 362, 546, 556, and 560.</w:t>
      </w:r>
    </w:p>
    <w:p>
      <w:pPr>
        <w:pStyle w:val="PlainText"/>
        <w:widowControl w:val="false"/>
        <w:jc w:val="both"/>
        <w:rPr/>
      </w:pPr>
      <w:bookmarkStart w:id="116" w:name="_DV_M77"/>
      <w:bookmarkEnd w:id="116"/>
      <w:r>
        <w:rPr>
          <w:rFonts w:cs="Times New Roman" w:ascii="Times New Roman" w:hAnsi="Times New Roman"/>
          <w:b/>
          <w:sz w:val="14"/>
          <w:u w:val="single"/>
          <w:lang w:val="en-CA"/>
        </w:rPr>
        <w:t>Limitation of Remedies, Liability &amp; Damages</w:t>
      </w:r>
      <w:r>
        <w:rPr>
          <w:rFonts w:cs="Times New Roman" w:ascii="Times New Roman" w:hAnsi="Times New Roman"/>
          <w:b/>
          <w:sz w:val="14"/>
          <w:lang w:val="en-CA"/>
        </w:rPr>
        <w:t>.</w:t>
      </w:r>
      <w:r>
        <w:rPr>
          <w:rFonts w:cs="Times New Roman" w:ascii="Times New Roman" w:hAnsi="Times New Roman"/>
          <w:sz w:val="15"/>
          <w:lang w:val="en-CA"/>
        </w:rPr>
        <w:t xml:space="preserve">  </w:t>
      </w:r>
      <w:r>
        <w:rPr>
          <w:rFonts w:cs="Times New Roman" w:ascii="Times New Roman" w:hAnsi="Times New Roman"/>
          <w:sz w:val="13"/>
          <w:lang w:val="en-CA"/>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(INCLUDING, WITHOUT LIMITATION, SPECIFIC PERFORMANCE) ARE WAIVED.  IF NO REMEDY OR MEASURE OF DAMAGES IS EXPRESSLY HEREIN PROVIDED, THE OBLIGOR'S LIABILITY WILL BE LIMITED TO DIRECT ACTUAL DAMAGES ONLY AS THE SOLE AND EXCLUSIVE REMEDY, AND ALL OTHER REMEDIES OR DAMAGES AT LAW OR IN EQUITY (INCLUDING, WITHOUT LIMITATION, SPECIFIC PERFORMANCE)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jc w:val="both"/>
        <w:rPr>
          <w:rFonts w:ascii="Times New Roman" w:hAnsi="Times New Roman" w:cs="Times New Roman"/>
          <w:b/>
          <w:sz w:val="13"/>
          <w:lang w:val="en-CA"/>
        </w:rPr>
      </w:pPr>
      <w:bookmarkStart w:id="117" w:name="_DV_M78"/>
      <w:bookmarkEnd w:id="117"/>
      <w:r>
        <w:rPr>
          <w:rFonts w:cs="Times New Roman" w:ascii="Times New Roman" w:hAnsi="Times New Roman"/>
          <w:b/>
          <w:sz w:val="14"/>
          <w:u w:val="single"/>
          <w:lang w:val="en-CA"/>
        </w:rPr>
        <w:t>Dispute Resolution</w:t>
      </w:r>
      <w:r>
        <w:rPr>
          <w:rFonts w:cs="Times New Roman" w:ascii="Times New Roman" w:hAnsi="Times New Roman"/>
          <w:b/>
          <w:sz w:val="14"/>
          <w:lang w:val="en-CA"/>
        </w:rPr>
        <w:t xml:space="preserve">.  </w:t>
      </w:r>
      <w:r>
        <w:rPr>
          <w:rFonts w:cs="Times New Roman" w:ascii="Times New Roman" w:hAnsi="Times New Roman"/>
          <w:sz w:val="13"/>
          <w:lang w:val="en-CA"/>
        </w:rPr>
        <w:t>EXCEPT FOR THE COLLECTION OF PAST DUE AMOUNTS OR AS OTHERWISE REQUIRED BY LAW OR THE RULES, ANY DISPUTE ARISING OUT OF THIS AGREEMENT SHALL BE SUBMITTED TO BINDING ARBITRATION BY ONE ARBITRATOR UNDER THE EXPEDITED RULES OF THE AMERICAN ARBITRATION ASSOCIATION.</w:t>
      </w:r>
    </w:p>
    <w:p>
      <w:pPr>
        <w:pStyle w:val="Normal"/>
        <w:widowControl w:val="false"/>
        <w:jc w:val="both"/>
        <w:rPr>
          <w:sz w:val="13"/>
          <w:lang w:val="en-CA"/>
        </w:rPr>
      </w:pPr>
      <w:bookmarkStart w:id="118" w:name="_DV_M79"/>
      <w:bookmarkEnd w:id="118"/>
      <w:r>
        <w:rPr>
          <w:b/>
          <w:sz w:val="14"/>
          <w:u w:val="single"/>
          <w:lang w:val="en-CA"/>
        </w:rPr>
        <w:t>UCC/Disclaimer of Warranties</w:t>
      </w:r>
      <w:r>
        <w:rPr>
          <w:b/>
          <w:sz w:val="14"/>
          <w:lang w:val="en-CA"/>
        </w:rPr>
        <w:t>.</w:t>
      </w:r>
      <w:r>
        <w:rPr>
          <w:sz w:val="15"/>
          <w:lang w:val="en-CA"/>
        </w:rPr>
        <w:t xml:space="preserve"> </w:t>
      </w:r>
      <w:r>
        <w:rPr>
          <w:sz w:val="14"/>
          <w:lang w:val="en-CA"/>
        </w:rPr>
        <w:t xml:space="preserve"> The provisions of the Uniform Commercial Code ("</w:t>
      </w:r>
      <w:r>
        <w:rPr>
          <w:sz w:val="14"/>
          <w:u w:val="single"/>
          <w:lang w:val="en-CA"/>
        </w:rPr>
        <w:t>UCC</w:t>
      </w:r>
      <w:r>
        <w:rPr>
          <w:sz w:val="14"/>
          <w:lang w:val="en-CA"/>
        </w:rPr>
        <w:t>") of the state whose laws govern this Agreement will be deemed to apply to this Agreement, and energy will be deemed to be a "good" for purposes of the UCC.</w:t>
      </w:r>
      <w:r>
        <w:rPr>
          <w:sz w:val="12"/>
          <w:lang w:val="en-CA"/>
        </w:rPr>
        <w:t xml:space="preserve">  </w:t>
      </w:r>
      <w:r>
        <w:rPr>
          <w:sz w:val="13"/>
          <w:lang w:val="en-CA"/>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smallCaps/>
          <w:sz w:val="13"/>
          <w:lang w:val="en-CA"/>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pPr>
      <w:bookmarkStart w:id="119" w:name="_DV_M80"/>
      <w:bookmarkEnd w:id="119"/>
      <w:r>
        <w:rPr>
          <w:rFonts w:cs="Times New Roman" w:ascii="Times New Roman" w:hAnsi="Times New Roman"/>
          <w:b/>
          <w:sz w:val="14"/>
          <w:u w:val="single"/>
          <w:lang w:val="en-CA"/>
        </w:rPr>
        <w:t>Confidentiality</w:t>
      </w:r>
      <w:r>
        <w:rPr>
          <w:rFonts w:cs="Times New Roman" w:ascii="Times New Roman" w:hAnsi="Times New Roman"/>
          <w:b/>
          <w:sz w:val="14"/>
          <w:lang w:val="en-CA"/>
        </w:rPr>
        <w:t>.</w:t>
      </w:r>
      <w:r>
        <w:rPr>
          <w:rFonts w:cs="Times New Roman" w:ascii="Times New Roman" w:hAnsi="Times New Roman"/>
          <w:sz w:val="14"/>
          <w:lang w:val="en-CA"/>
        </w:rPr>
        <w:t xml:space="preserve">  Neither Party will disclose the terms of this Agreement to any third party except as may be required by Law.</w:t>
      </w:r>
    </w:p>
    <w:p>
      <w:pPr>
        <w:pStyle w:val="Normal"/>
        <w:widowControl w:val="false"/>
        <w:jc w:val="both"/>
        <w:rPr>
          <w:sz w:val="15"/>
          <w:lang w:val="en-CA"/>
        </w:rPr>
      </w:pPr>
      <w:bookmarkStart w:id="120" w:name="_DV_M81"/>
      <w:bookmarkEnd w:id="120"/>
      <w:r>
        <w:rPr>
          <w:b/>
          <w:sz w:val="14"/>
          <w:u w:val="single"/>
          <w:lang w:val="en-CA"/>
        </w:rPr>
        <w:t>No Third Party Beneficiaries; Relationship of the Parties</w:t>
      </w:r>
      <w:r>
        <w:rPr>
          <w:b/>
          <w:sz w:val="14"/>
          <w:lang w:val="en-CA"/>
        </w:rPr>
        <w:t>.</w:t>
      </w:r>
      <w:r>
        <w:rPr>
          <w:sz w:val="14"/>
          <w:lang w:val="en-CA"/>
        </w:rPr>
        <w:t xml:space="preserve">  Nothing in this Agreement will provide any benefit to any third party or entitle any third party to any claim, cause of action, remedy or right of any kind, it being the Parties’ intent that this Agreement will not be construed as a third party beneficiary contract.</w:t>
      </w:r>
      <w:r>
        <w:rPr>
          <w:sz w:val="15"/>
          <w:lang w:val="en-CA"/>
        </w:rPr>
        <w:t xml:space="preserve">  </w:t>
      </w:r>
      <w:r>
        <w:rPr>
          <w:sz w:val="13"/>
          <w:lang w:val="en-CA"/>
        </w:rPr>
        <w:t>WE ARE ACTING AS AN INDEPENDENT CONTRACTOR AND NOTHING IN THIS AGREEMENT SHALL BE CONSTRUED TO CREATE OR IMPLY A JOINT VENTURE, PARTNERSHIP OR ASSOCIATION OR THE CREATION OR EXISTENCE OF ANY FIDUCIARY DUTY OR SIMILAR OBLIGATION BETWEEN THE PARTIES</w:t>
      </w:r>
      <w:r>
        <w:rPr>
          <w:sz w:val="12"/>
          <w:lang w:val="en-CA"/>
        </w:rPr>
        <w:t>.</w:t>
      </w:r>
      <w:r>
        <w:rPr>
          <w:sz w:val="13"/>
          <w:lang w:val="en-CA"/>
        </w:rPr>
        <w:t xml:space="preserve">  </w:t>
      </w:r>
      <w:r>
        <w:rPr>
          <w:sz w:val="14"/>
          <w:lang w:val="en-CA"/>
        </w:rPr>
        <w:t>You acknowledge that our business consists in whole or in part of entering into “forward contracts,” as defined in Bankruptcy Code Section 101(25).</w:t>
      </w:r>
    </w:p>
    <w:p>
      <w:pPr>
        <w:pStyle w:val="Normal"/>
        <w:widowControl w:val="false"/>
        <w:jc w:val="both"/>
        <w:rPr/>
      </w:pPr>
      <w:bookmarkStart w:id="121" w:name="_DV_M82"/>
      <w:bookmarkEnd w:id="121"/>
      <w:r>
        <w:rPr>
          <w:b/>
          <w:sz w:val="15"/>
          <w:u w:val="single"/>
          <w:lang w:val="en-CA"/>
        </w:rPr>
        <w:t>Governing Law</w:t>
      </w:r>
      <w:r>
        <w:rPr>
          <w:b/>
          <w:sz w:val="15"/>
          <w:lang w:val="en-CA"/>
        </w:rPr>
        <w:t>.</w:t>
      </w:r>
      <w:r>
        <w:rPr>
          <w:sz w:val="15"/>
          <w:lang w:val="en-CA"/>
        </w:rPr>
        <w:t xml:space="preserve">  </w:t>
      </w:r>
      <w:r>
        <w:rPr>
          <w:sz w:val="13"/>
          <w:lang w:val="en-CA"/>
        </w:rPr>
        <w:t xml:space="preserve">THIS AGREEMENT AND THE RIGHTS AND DUTIES OF THE PARTIES HEREUNDER WILL BE GOVERNED BY AND CONSTRUED, ENFORCED AND PERFORMED IN ACCORDANCE WITH THE LAW OF THE STATE OF </w:t>
      </w:r>
      <w:bookmarkStart w:id="122" w:name="_DV_C29"/>
      <w:r>
        <w:rPr>
          <w:rStyle w:val="DeltaViewDeletion"/>
          <w:color w:val="auto"/>
          <w:sz w:val="13"/>
          <w:lang w:val="en-CA"/>
        </w:rPr>
        <w:t>TEXAS</w:t>
      </w:r>
      <w:bookmarkStart w:id="123" w:name="_DV_C30"/>
      <w:bookmarkEnd w:id="122"/>
      <w:r>
        <w:rPr>
          <w:rStyle w:val="DeltaViewInsertion"/>
          <w:color w:val="auto"/>
          <w:sz w:val="13"/>
          <w:lang w:val="en-CA"/>
        </w:rPr>
        <w:t>MAINE</w:t>
      </w:r>
      <w:bookmarkStart w:id="124" w:name="_DV_M83"/>
      <w:bookmarkEnd w:id="123"/>
      <w:bookmarkEnd w:id="124"/>
      <w:r>
        <w:rPr>
          <w:sz w:val="13"/>
          <w:lang w:val="en-CA"/>
        </w:rPr>
        <w:t>, WITHOUT GIVING EFFECT TO PRINCIPLES OF CONFLICTS OF LAWS.</w:t>
      </w:r>
    </w:p>
    <w:p>
      <w:pPr>
        <w:sectPr>
          <w:headerReference w:type="default" r:id="rId3"/>
          <w:headerReference w:type="first" r:id="rId4"/>
          <w:footerReference w:type="default" r:id="rId5"/>
          <w:footerReference w:type="first" r:id="rId6"/>
          <w:type w:val="nextPage"/>
          <w:pgSz w:w="12240" w:h="15840"/>
          <w:pgMar w:left="432" w:right="432" w:gutter="0" w:header="0" w:top="288" w:footer="0" w:bottom="288"/>
          <w:pgNumType w:start="1" w:fmt="decimal"/>
          <w:formProt w:val="false"/>
          <w:vAlign w:val="center"/>
          <w:titlePg/>
          <w:textDirection w:val="lrTb"/>
          <w:docGrid w:type="default" w:linePitch="360" w:charSpace="0"/>
        </w:sectPr>
        <w:pStyle w:val="Normal"/>
        <w:widowControl w:val="false"/>
        <w:jc w:val="both"/>
        <w:rPr/>
      </w:pPr>
      <w:bookmarkStart w:id="125" w:name="_DV_M84"/>
      <w:bookmarkEnd w:id="125"/>
      <w:r>
        <w:rPr>
          <w:b/>
          <w:sz w:val="14"/>
          <w:u w:val="single"/>
          <w:lang w:val="en-CA"/>
        </w:rPr>
        <w:t>Miscellaneous</w:t>
      </w:r>
      <w:r>
        <w:rPr>
          <w:b/>
          <w:sz w:val="14"/>
          <w:lang w:val="en-CA"/>
        </w:rPr>
        <w:t>.</w:t>
      </w:r>
      <w:r>
        <w:rPr>
          <w:sz w:val="14"/>
          <w:lang w:val="en-CA"/>
        </w:rPr>
        <w:t xml:space="preserve">  This Agreement constitutes the complete Agreement between the Parties with respect to its subject matter and supersedes all prior proposals, communications, term sheets or price quotes of any kind.  All provisions of this Agreement which must, in order to give full force and effect to the rights and obligations of the Parties hereto, survive the termination or expiration of this Agreement, shall so survive.  No waiver by any Party of any default by the other Party in the performance of any of the provisions of this Agreement will be construed as a waiver of any other default hereunder.  No amendment, modification or change to this Agreement will be enforceable unless reduced to writing and executed by duly authorized representatives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w:t>
      </w:r>
    </w:p>
    <w:p>
      <w:pPr>
        <w:pStyle w:val="DeltaViewTableBody"/>
        <w:rPr/>
      </w:pPr>
      <w:bookmarkStart w:id="130" w:name="_DV_X0"/>
      <w:bookmarkEnd w:id="130"/>
      <w:r>
        <w:rPr/>
        <w:t xml:space="preserve">Document comparison done by </w:t>
      </w:r>
      <w:bookmarkStart w:id="131" w:name="Program"/>
      <w:r>
        <w:rPr/>
        <w:t>DeltaView</w:t>
      </w:r>
      <w:bookmarkEnd w:id="131"/>
      <w:r>
        <w:rPr/>
        <w:t xml:space="preserve"> on </w:t>
      </w:r>
      <w:bookmarkStart w:id="132" w:name="Date"/>
      <w:r>
        <w:rPr/>
        <w:t>Wednesday, August 08, 2001 17:44:37</w:t>
      </w:r>
      <w:bookmarkEnd w:id="132"/>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33" w:name="Doc1"/>
            <w:r>
              <w:rPr/>
              <w:t>pcdocs://HN/48741/1</w:t>
            </w:r>
            <w:bookmarkEnd w:id="133"/>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34" w:name="Doc2"/>
            <w:r>
              <w:rPr/>
              <w:t>pcdocs://HN/48741/2</w:t>
            </w:r>
            <w:bookmarkEnd w:id="134"/>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35" w:name="RenderingSet"/>
            <w:r>
              <w:rPr/>
              <w:t>S Cofer preferences</w:t>
            </w:r>
            <w:bookmarkEnd w:id="135"/>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u w:val="double"/>
              </w:rPr>
            </w:pPr>
            <w:bookmarkStart w:id="136" w:name="Leg_Ins"/>
            <w:r>
              <w:rPr>
                <w:rStyle w:val="DeltaViewInsertion"/>
                <w:rFonts w:cs="Times New Roman" w:ascii="Times New Roman" w:hAnsi="Times New Roman"/>
                <w:color w:val="auto"/>
              </w:rPr>
              <w:t xml:space="preserve">Insertion </w:t>
            </w:r>
            <w:bookmarkEnd w:id="13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137" w:name="Leg_Del"/>
            <w:r>
              <w:rPr>
                <w:rStyle w:val="DeltaViewDeletion"/>
                <w:rFonts w:cs="Times New Roman" w:ascii="Times New Roman" w:hAnsi="Times New Roman"/>
                <w:color w:val="auto"/>
              </w:rPr>
              <w:t xml:space="preserve">Deletion </w:t>
            </w:r>
            <w:bookmarkEnd w:id="13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138" w:name="Leg_MoveSource"/>
            <w:r>
              <w:rPr>
                <w:rStyle w:val="DeltaViewMoveSource"/>
                <w:rFonts w:cs="Times New Roman" w:ascii="Times New Roman" w:hAnsi="Times New Roman"/>
                <w:color w:val="auto"/>
              </w:rPr>
              <w:t xml:space="preserve">Moved from </w:t>
            </w:r>
            <w:bookmarkEnd w:id="13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u w:val="double"/>
              </w:rPr>
            </w:pPr>
            <w:bookmarkStart w:id="139" w:name="Leg_MoveDest"/>
            <w:r>
              <w:rPr>
                <w:rStyle w:val="DeltaViewMoveDestination"/>
                <w:rFonts w:cs="Times New Roman" w:ascii="Times New Roman" w:hAnsi="Times New Roman"/>
                <w:color w:val="auto"/>
              </w:rPr>
              <w:t xml:space="preserve">Moved to </w:t>
            </w:r>
            <w:bookmarkEnd w:id="13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rPr>
            </w:pPr>
            <w:bookmarkStart w:id="140" w:name="Leg_FormatChange"/>
            <w:r>
              <w:rPr>
                <w:rStyle w:val="DeltaViewFormatChange"/>
                <w:rFonts w:cs="Times New Roman" w:ascii="Times New Roman" w:hAnsi="Times New Roman"/>
                <w:color w:val="auto"/>
              </w:rPr>
              <w:t xml:space="preserve">Format change </w:t>
            </w:r>
            <w:bookmarkEnd w:id="14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141" w:name="Cell_Ins"/>
            <w:bookmarkEnd w:id="141"/>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142" w:name="Cell_Del"/>
            <w:bookmarkEnd w:id="142"/>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43" w:name="Cell_Move"/>
            <w:bookmarkStart w:id="144" w:name="Cell_Move"/>
            <w:bookmarkEnd w:id="14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45" w:name="Cell_Merge"/>
            <w:bookmarkStart w:id="146" w:name="Cell_Merge"/>
            <w:bookmarkEnd w:id="14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47" w:name="Cell_Pad"/>
            <w:bookmarkStart w:id="148" w:name="Cell_Pad"/>
            <w:bookmarkEnd w:id="148"/>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rPr>
            </w:pPr>
            <w:r>
              <w:rPr>
                <w:rFonts w:cs="Times New Roman" w:ascii="Times New Roman" w:hAnsi="Times New Roman"/>
                <w:b/>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49" w:name="Stat_Ins"/>
            <w:r>
              <w:rPr/>
              <w:t>17</w:t>
            </w:r>
            <w:bookmarkEnd w:id="14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0" w:name="Stat_InsP"/>
            <w:r>
              <w:rPr/>
              <w:t>1.03</w:t>
            </w:r>
            <w:bookmarkEnd w:id="15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1" w:name="Stat_Del"/>
            <w:r>
              <w:rPr/>
              <w:t>14</w:t>
            </w:r>
            <w:bookmarkEnd w:id="15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2" w:name="Stat_DelP"/>
            <w:r>
              <w:rPr/>
              <w:t>1.02</w:t>
            </w:r>
            <w:bookmarkEnd w:id="15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3" w:name="Stat_Move"/>
            <w:r>
              <w:rPr/>
              <w:t>0</w:t>
            </w:r>
            <w:bookmarkEnd w:id="15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4" w:name="Stat_MoveP"/>
            <w:r>
              <w:rPr/>
              <w:t>0.00</w:t>
            </w:r>
            <w:bookmarkEnd w:id="15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5" w:name="Stat_Match"/>
            <w:r>
              <w:rPr/>
              <w:t>16</w:t>
            </w:r>
            <w:bookmarkEnd w:id="15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6" w:name="Stat_MatchP"/>
            <w:r>
              <w:rPr/>
              <w:t>97.95</w:t>
            </w:r>
            <w:bookmarkEnd w:id="15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7" w:name="Stat_Change"/>
            <w:r>
              <w:rPr/>
              <w:t>0</w:t>
            </w:r>
            <w:bookmarkEnd w:id="15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58" w:name="Stat_ChangeP"/>
            <w:r>
              <w:rPr/>
              <w:t>0.00</w:t>
            </w:r>
            <w:bookmarkEnd w:id="158"/>
            <w:r>
              <w:rPr/>
              <w:t>%</w:t>
            </w:r>
          </w:p>
        </w:tc>
      </w:tr>
    </w:tbl>
    <w:p>
      <w:pPr>
        <w:pStyle w:val="DeltaViewTableBody"/>
        <w:rPr/>
      </w:pPr>
      <w:r>
        <w:rPr/>
      </w:r>
      <w:bookmarkStart w:id="159" w:name="_DV_X0"/>
      <w:bookmarkStart w:id="160" w:name="_DV_X0"/>
      <w:bookmarkEnd w:id="160"/>
    </w:p>
    <w:sectPr>
      <w:headerReference w:type="default" r:id="rId7"/>
      <w:headerReference w:type="first" r:id="rId8"/>
      <w:footerReference w:type="default" r:id="rId9"/>
      <w:footerReference w:type="first" r:id="rId10"/>
      <w:type w:val="nextPage"/>
      <w:pgSz w:w="12240" w:h="15840"/>
      <w:pgMar w:left="432" w:right="432"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127" w:name="_DV_C1"/>
    <w:r>
      <w:rPr>
        <w:rStyle w:val="DeltaViewDeletion"/>
        <w:color w:val="auto"/>
      </w:rPr>
      <w:t>A-</w:t>
    </w:r>
    <w:bookmarkStart w:id="128" w:name="_DV_C2"/>
    <w:bookmarkEnd w:id="127"/>
    <w:r>
      <w:rPr>
        <w:rStyle w:val="DeltaViewInsertion"/>
        <w:color w:val="auto"/>
        <w:sz w:val="16"/>
      </w:rPr>
      <w:t>HN 48741.2 02618.00544</w:t>
    </w:r>
    <w:r>
      <w:rPr>
        <w:rStyle w:val="DeltaViewInsertion"/>
        <w:color w:val="auto"/>
        <w:sz w:val="18"/>
      </w:rPr>
      <w:tab/>
      <w:t xml:space="preserve">                          </w:t>
    </w:r>
    <w:r>
      <w:rPr>
        <w:rStyle w:val="DeltaViewInsertion"/>
        <w:color w:val="auto"/>
      </w:rPr>
      <w:t>A-</w:t>
    </w:r>
    <w:bookmarkEnd w:id="128"/>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3</w:t>
    </w:r>
    <w:r>
      <w:rPr>
        <w:rStyle w:val="PageNumber"/>
        <w:lang w:val="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129" w:name="_DV_C4"/>
    <w:r>
      <w:rPr>
        <w:rStyle w:val="DeltaViewInsertion"/>
        <w:color w:val="auto"/>
        <w:sz w:val="16"/>
      </w:rPr>
      <w:t>HN 48741.2 02618.00544</w:t>
    </w:r>
    <w:bookmarkEnd w:id="129"/>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bookmarkStart w:id="126" w:name="_DV_C3"/>
    <w:r>
      <w:rPr>
        <w:rStyle w:val="DeltaViewInsertion"/>
        <w:color w:val="auto"/>
        <w:sz w:val="18"/>
      </w:rPr>
      <w:t>LLGM Draft 8.08.01</w:t>
    </w:r>
    <w:bookmarkEnd w:id="126"/>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18"/>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jc w:val="center"/>
      <w:outlineLvl w:val="2"/>
    </w:pPr>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spacing w:lineRule="atLeast" w:line="240"/>
      <w:ind w:hanging="360" w:start="360" w:end="0"/>
      <w:jc w:val="both"/>
      <w:outlineLvl w:val="4"/>
    </w:pPr>
    <w:rPr>
      <w:rFonts w:ascii="Arial" w:hAnsi="Arial" w:cs="Arial"/>
      <w:b/>
      <w:smallCaps/>
      <w:sz w:val="17"/>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spacing w:lineRule="atLeast" w:line="240"/>
      <w:ind w:hanging="0" w:start="360" w:end="0"/>
      <w:jc w:val="center"/>
      <w:outlineLvl w:val="6"/>
    </w:pPr>
    <w:rPr>
      <w:rFonts w:ascii="Arial" w:hAnsi="Arial" w:cs="Arial"/>
      <w:b/>
      <w:smallCaps/>
      <w:sz w:val="17"/>
    </w:rPr>
  </w:style>
  <w:style w:type="paragraph" w:styleId="Heading8">
    <w:name w:val="heading 8"/>
    <w:basedOn w:val="Normal"/>
    <w:next w:val="Normal"/>
    <w:qFormat/>
    <w:pPr>
      <w:keepNext w:val="true"/>
      <w:widowControl w:val="false"/>
      <w:numPr>
        <w:ilvl w:val="7"/>
        <w:numId w:val="1"/>
      </w:numPr>
      <w:ind w:hanging="2340" w:start="2340" w:end="0"/>
      <w:jc w:val="center"/>
      <w:outlineLvl w:val="7"/>
    </w:pPr>
    <w:rPr>
      <w:rFonts w:ascii="Arial" w:hAnsi="Arial" w:cs="Arial"/>
      <w:b/>
      <w:u w:val="single"/>
    </w:rPr>
  </w:style>
  <w:style w:type="paragraph" w:styleId="Heading9">
    <w:name w:val="heading 9"/>
    <w:basedOn w:val="Normal"/>
    <w:next w:val="Normal"/>
    <w:qFormat/>
    <w:pPr>
      <w:keepNext w:val="true"/>
      <w:numPr>
        <w:ilvl w:val="8"/>
        <w:numId w:val="1"/>
      </w:numPr>
      <w:spacing w:lineRule="atLeast" w:line="240"/>
      <w:ind w:hanging="0" w:start="360" w:end="0"/>
      <w:jc w:val="center"/>
      <w:outlineLvl w:val="8"/>
    </w:pPr>
    <w:rPr>
      <w:b/>
      <w:smallCaps/>
      <w:sz w:val="16"/>
    </w:rPr>
  </w:style>
  <w:style w:type="character" w:styleId="WW8Num2z0">
    <w:name w:val="WW8Num2z0"/>
    <w:qFormat/>
    <w:rPr>
      <w:b/>
      <w:spacing w:val="0"/>
    </w:rPr>
  </w:style>
  <w:style w:type="character" w:styleId="WW8Num3z0">
    <w:name w:val="WW8Num3z0"/>
    <w:qFormat/>
    <w:rPr>
      <w:b/>
      <w:spacing w:val="0"/>
    </w:rPr>
  </w:style>
  <w:style w:type="character" w:styleId="WW8Num5z0">
    <w:name w:val="WW8Num5z0"/>
    <w:qFormat/>
    <w:rPr>
      <w:b/>
      <w:spacing w:val="0"/>
    </w:rPr>
  </w:style>
  <w:style w:type="character" w:styleId="WW8Num7z0">
    <w:name w:val="WW8Num7z0"/>
    <w:qFormat/>
    <w:rPr>
      <w:b/>
      <w:spacing w:val="0"/>
      <w:sz w:val="18"/>
    </w:rPr>
  </w:style>
  <w:style w:type="character" w:styleId="WW8Num8z0">
    <w:name w:val="WW8Num8z0"/>
    <w:qFormat/>
    <w:rPr>
      <w:b/>
      <w:spacing w:val="0"/>
    </w:rPr>
  </w:style>
  <w:style w:type="character" w:styleId="WW8Num9z0">
    <w:name w:val="WW8Num9z0"/>
    <w:qFormat/>
    <w:rPr>
      <w:b/>
      <w:spacing w:val="0"/>
    </w:rPr>
  </w:style>
  <w:style w:type="character" w:styleId="WW8Num10z0">
    <w:name w:val="WW8Num10z0"/>
    <w:qFormat/>
    <w:rPr>
      <w:b/>
      <w:spacing w:val="0"/>
    </w:rPr>
  </w:style>
  <w:style w:type="character" w:styleId="WW8Num12z0">
    <w:name w:val="WW8Num12z0"/>
    <w:qFormat/>
    <w:rPr>
      <w:b/>
      <w:spacing w:val="0"/>
    </w:rPr>
  </w:style>
  <w:style w:type="character" w:styleId="WW8Num13z0">
    <w:name w:val="WW8Num13z0"/>
    <w:qFormat/>
    <w:rPr>
      <w:b/>
      <w:spacing w:val="0"/>
    </w:rPr>
  </w:style>
  <w:style w:type="character" w:styleId="WW8Num14z0">
    <w:name w:val="WW8Num14z0"/>
    <w:qFormat/>
    <w:rPr>
      <w:b/>
      <w:spacing w:val="0"/>
    </w:rPr>
  </w:style>
  <w:style w:type="character" w:styleId="WW8Num15z0">
    <w:name w:val="WW8Num15z0"/>
    <w:qFormat/>
    <w:rPr>
      <w:b/>
      <w:spacing w:val="0"/>
    </w:rPr>
  </w:style>
  <w:style w:type="character" w:styleId="WW8NumSt5z0">
    <w:name w:val="WW8NumSt5z0"/>
    <w:qFormat/>
    <w:rPr>
      <w:rFonts w:ascii="Symbol" w:hAnsi="Symbol" w:cs="Symbol"/>
      <w:spacing w:val="0"/>
    </w:rPr>
  </w:style>
  <w:style w:type="character" w:styleId="DefaultParagraphFont">
    <w:name w:val="Default Paragraph Font"/>
    <w:qFormat/>
    <w:rPr/>
  </w:style>
  <w:style w:type="character" w:styleId="Hyperlink">
    <w:name w:val="Hyperlink"/>
    <w:basedOn w:val="DefaultParagraphFont"/>
    <w:rPr>
      <w:color w:val="0000FF"/>
      <w:spacing w:val="0"/>
      <w:u w:val="single"/>
    </w:rPr>
  </w:style>
  <w:style w:type="character" w:styleId="PageNumber">
    <w:name w:val="page number"/>
    <w:basedOn w:val="DefaultParagraphFont"/>
    <w:rPr/>
  </w:style>
  <w:style w:type="character" w:styleId="CommentReference">
    <w:name w:val="Comment Reference"/>
    <w:basedOn w:val="DefaultParagraphFont"/>
    <w:qFormat/>
    <w:rPr>
      <w:spacing w:val="0"/>
      <w:sz w:val="16"/>
    </w:rPr>
  </w:style>
  <w:style w:type="character" w:styleId="DeltaViewInsertion">
    <w:name w:val="DeltaView Insertion"/>
    <w:qFormat/>
    <w:rPr>
      <w:b/>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BodyTextIndent">
    <w:name w:val="Body Text Indent"/>
    <w:basedOn w:val="Normal"/>
    <w:pPr>
      <w:widowControl w:val="false"/>
      <w:ind w:hanging="360" w:start="360" w:end="0"/>
      <w:jc w:val="both"/>
    </w:pPr>
    <w:rPr>
      <w:rFonts w:ascii="Arial" w:hAnsi="Arial" w:cs="Arial"/>
      <w:sz w:val="17"/>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Outline3">
    <w:name w:val="Outline 3"/>
    <w:basedOn w:val="Normal"/>
    <w:qFormat/>
    <w:pPr/>
    <w:rPr/>
  </w:style>
  <w:style w:type="paragraph" w:styleId="BodyText3">
    <w:name w:val="Body Text 3"/>
    <w:basedOn w:val="Normal"/>
    <w:qFormat/>
    <w:pPr>
      <w:widowControl w:val="false"/>
      <w:spacing w:before="0" w:after="120"/>
      <w:jc w:val="both"/>
    </w:pPr>
    <w:rPr>
      <w:sz w:val="16"/>
    </w:rPr>
  </w:style>
  <w:style w:type="paragraph" w:styleId="DeltaViewTableHeading">
    <w:name w:val="DeltaView Table Heading"/>
    <w:basedOn w:val="Normal"/>
    <w:qFormat/>
    <w:pPr>
      <w:spacing w:before="0" w:after="120"/>
    </w:pPr>
    <w:rPr>
      <w:rFonts w:ascii="Arial" w:hAnsi="Arial" w:cs="Arial"/>
      <w:b/>
      <w:sz w:val="24"/>
    </w:rPr>
  </w:style>
  <w:style w:type="paragraph" w:styleId="DeltaViewTableBody">
    <w:name w:val="DeltaView Table Body"/>
    <w:basedOn w:val="Normal"/>
    <w:qFormat/>
    <w:pPr/>
    <w:rPr>
      <w:rFonts w:ascii="Arial" w:hAnsi="Arial" w:cs="Arial"/>
      <w:sz w:val="24"/>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2001-08-08T20:17:00Z</dcterms:created>
  <dc:creator>swheeler</dc:creator>
  <dc:description/>
  <cp:keywords>HN 48741.2 02618 00810 8/7/2001  9:31 PM</cp:keywords>
  <dc:language>en-CA</dc:language>
  <cp:lastModifiedBy>LeBoeuf, Lamb, Greene &amp; MacRae, L.L.P.</cp:lastModifiedBy>
  <cp:lastPrinted>2001-08-03T10:49:00Z</cp:lastPrinted>
  <dcterms:modified xsi:type="dcterms:W3CDTF">2001-08-08T20:17:00Z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