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widowControl/>
        <w:spacing w:before="240" w:after="0"/>
        <w:rPr/>
      </w:pPr>
      <w:r>
        <w:rPr>
          <w:strike/>
        </w:rPr>
        <w:t>EXECUTION COPY</w:t>
      </w:r>
      <w:r>
        <w:rPr/>
        <w:t xml:space="preserve"> </w:t>
      </w:r>
      <w:r>
        <w:rPr>
          <w:b/>
          <w:bCs/>
          <w:u w:val="double"/>
        </w:rPr>
        <w:t>GUARANTY</w:t>
      </w:r>
      <w:r>
        <w:rPr/>
        <w:br/>
      </w:r>
      <w:r>
        <w:rPr>
          <w:b/>
          <w:bCs/>
          <w:u w:val="double"/>
        </w:rPr>
        <w:t>(RENEWABLE ENERGY PURCHASE AGREEMENT)</w:t>
      </w:r>
    </w:p>
    <w:p>
      <w:pPr>
        <w:pStyle w:val="BodyText"/>
        <w:widowControl/>
        <w:spacing w:before="480" w:after="0"/>
        <w:rPr>
          <w:strike/>
        </w:rPr>
      </w:pPr>
      <w:r>
        <w:rPr>
          <w:strike/>
        </w:rPr>
        <w:t>ENRON GUARANTY</w:t>
      </w:r>
    </w:p>
    <w:p>
      <w:pPr>
        <w:pStyle w:val="BodyText"/>
        <w:widowControl/>
        <w:spacing w:before="480" w:after="0"/>
        <w:rPr/>
      </w:pPr>
      <w:r>
        <w:rPr>
          <w:strike/>
        </w:rPr>
        <w:t>This ENRON</w:t>
      </w:r>
      <w:r>
        <w:rPr/>
        <w:t xml:space="preserve"> </w:t>
      </w:r>
      <w:r>
        <w:rPr>
          <w:b/>
          <w:bCs/>
          <w:u w:val="double"/>
        </w:rPr>
        <w:t xml:space="preserve">This </w:t>
      </w:r>
      <w:r>
        <w:rPr/>
        <w:t xml:space="preserve">GUARANTY </w:t>
      </w:r>
      <w:r>
        <w:rPr>
          <w:strike/>
        </w:rPr>
        <w:t>("Enron</w:t>
      </w:r>
      <w:r>
        <w:rPr>
          <w:b/>
          <w:bCs/>
          <w:u w:val="double"/>
        </w:rPr>
        <w:t>("</w:t>
      </w:r>
      <w:r>
        <w:rPr>
          <w:u w:val="single"/>
        </w:rPr>
        <w:t>Guaranty</w:t>
      </w:r>
      <w:r>
        <w:rPr/>
        <w:t xml:space="preserve">") is dated as of </w:t>
      </w:r>
      <w:r>
        <w:rPr>
          <w:strike/>
        </w:rPr>
        <w:t>December 14, 1999</w:t>
      </w:r>
      <w:r>
        <w:rPr/>
        <w:t xml:space="preserve"> </w:t>
      </w:r>
      <w:r>
        <w:rPr>
          <w:b/>
          <w:bCs/>
          <w:u w:val="double"/>
        </w:rPr>
        <w:t>November __, 2000</w:t>
      </w:r>
      <w:r>
        <w:rPr/>
        <w:t xml:space="preserve">, and is given by ENRON CORP., an </w:t>
      </w:r>
      <w:r>
        <w:rPr>
          <w:b/>
          <w:bCs/>
          <w:u w:val="double"/>
        </w:rPr>
        <w:t>[</w:t>
      </w:r>
      <w:r>
        <w:rPr/>
        <w:t>Oregon</w:t>
      </w:r>
      <w:r>
        <w:rPr>
          <w:b/>
          <w:bCs/>
          <w:u w:val="double"/>
        </w:rPr>
        <w:t>]</w:t>
      </w:r>
      <w:r>
        <w:rPr/>
        <w:t xml:space="preserve"> corporation (the "</w:t>
      </w:r>
      <w:r>
        <w:rPr>
          <w:u w:val="single"/>
        </w:rPr>
        <w:t>Guarantor</w:t>
      </w:r>
      <w:r>
        <w:rPr/>
        <w:t xml:space="preserve">"), in favor of </w:t>
      </w:r>
      <w:r>
        <w:rPr>
          <w:strike/>
        </w:rPr>
        <w:t>MEESPIERSON N.V., LONDON BRANCH in its capacity as Junior Agent and Senior Agent, each as defined below</w:t>
      </w:r>
      <w:r>
        <w:rPr/>
        <w:t xml:space="preserve"> </w:t>
      </w:r>
      <w:r>
        <w:rPr>
          <w:b/>
          <w:bCs/>
          <w:u w:val="double"/>
        </w:rPr>
        <w:t>INDIAN MESA POWER PARTNERS II L.P., a Delaware limited partnership ("Seller")</w:t>
      </w:r>
      <w:r>
        <w:rPr/>
        <w:t xml:space="preserve">. </w:t>
      </w:r>
    </w:p>
    <w:p>
      <w:pPr>
        <w:pStyle w:val="Recital"/>
        <w:widowControl/>
        <w:rPr/>
      </w:pPr>
      <w:r>
        <w:rPr/>
        <w:t>RECITALS</w:t>
      </w:r>
    </w:p>
    <w:p>
      <w:pPr>
        <w:pStyle w:val="BodyText"/>
        <w:widowControl/>
        <w:rPr/>
      </w:pPr>
      <w:r>
        <w:rPr/>
        <w:t xml:space="preserve">WHEREAS, </w:t>
      </w:r>
      <w:r>
        <w:rPr>
          <w:strike/>
        </w:rPr>
        <w:t>Cabazon Power Partners LLC (the "Borrower"),</w:t>
      </w:r>
      <w:r>
        <w:rPr/>
        <w:t xml:space="preserve"> </w:t>
      </w:r>
      <w:r>
        <w:rPr>
          <w:b/>
          <w:bCs/>
          <w:u w:val="double"/>
        </w:rPr>
        <w:t>Seller and Enron Power Marketing, Inc.,</w:t>
      </w:r>
      <w:r>
        <w:rPr/>
        <w:t xml:space="preserve"> a Delaware </w:t>
      </w:r>
      <w:r>
        <w:rPr>
          <w:strike/>
        </w:rPr>
        <w:t>limited liability company</w:t>
      </w:r>
      <w:r>
        <w:rPr/>
        <w:t xml:space="preserve"> </w:t>
      </w:r>
      <w:r>
        <w:rPr>
          <w:b/>
          <w:bCs/>
          <w:u w:val="double"/>
        </w:rPr>
        <w:t>corporation ("Purchaser")</w:t>
      </w:r>
      <w:r>
        <w:rPr/>
        <w:t xml:space="preserve"> and an affiliate of the Guarantor, </w:t>
      </w:r>
      <w:r>
        <w:rPr>
          <w:strike/>
        </w:rPr>
        <w:t>and Senior Agent (as defined below) are party to the Senior Financing</w:t>
      </w:r>
      <w:r>
        <w:rPr/>
        <w:t xml:space="preserve"> </w:t>
      </w:r>
      <w:r>
        <w:rPr>
          <w:b/>
          <w:bCs/>
          <w:u w:val="double"/>
        </w:rPr>
        <w:t>are parties to the Renewable Energy Purchase</w:t>
      </w:r>
      <w:r>
        <w:rPr/>
        <w:t xml:space="preserve"> Agreement dated as of even date herewith (as amended, modified and supplemented from time to time, the </w:t>
      </w:r>
      <w:r>
        <w:rPr>
          <w:strike/>
        </w:rPr>
        <w:t>"Senior Financing Agreement"), among the Borrower, the banks and other financial institutions from time to time party thereto (each such institution, a "Senior Lender" and collectively, the "Senior Lenders") and MeesPierson N.V, London Branch, in its capacity as senior agent to the Senior Lenders (in such capacity, the "Senior Agent");</w:t>
      </w:r>
      <w:r>
        <w:rPr>
          <w:b/>
          <w:bCs/>
          <w:u w:val="double"/>
        </w:rPr>
        <w:t>"Agreement");</w:t>
      </w:r>
    </w:p>
    <w:p>
      <w:pPr>
        <w:pStyle w:val="BodyText"/>
        <w:widowControl/>
        <w:rPr/>
      </w:pPr>
      <w:r>
        <w:rPr>
          <w:strike/>
        </w:rPr>
        <w:t>WHEREAS, Borrower and Junior Agent (as defined below) are party to the Junior Financing Agreement dated as of even date herewith (as amended, modified and supplemented, from time to time, the "Junior Financing Agreement"), among the Borrower, the banks and other financial institutions from time to time party thereto (each such institution, a "Junior Lender" and collectively, the "Junior Lenders"), and MeesPierson N.V., London Branch in its capacity as junior agent to the Junior Lenders, (in such capacity, the "Junior Agent").</w:t>
      </w:r>
      <w:r>
        <w:rPr/>
        <w:t xml:space="preserve"> </w:t>
      </w:r>
      <w:r>
        <w:rPr>
          <w:b/>
          <w:bCs/>
          <w:u w:val="double"/>
        </w:rPr>
        <w:t xml:space="preserve">WHEREAS, pursuant to Section 7.01(b) of the Agreement, Purchaser shall cause Guarantor to deliver, and maintain in effect continuously thereafter until it is released by Seller, a guaranty in form and substance satisfactory to Seller; </w:t>
      </w:r>
    </w:p>
    <w:p>
      <w:pPr>
        <w:pStyle w:val="BodyText"/>
        <w:widowControl/>
        <w:rPr>
          <w:strike/>
        </w:rPr>
      </w:pPr>
      <w:r>
        <w:rPr>
          <w:strike/>
        </w:rPr>
        <w:t>WHEREAS, Zond Constructors, Inc. (the "Contractor"), a California corporation and an indirect subsidiary of the Guarantor, and the Borrower are parties to that certain Agreement to Engineer, Procure and Construct Wind Energy Generation System, dated as of December 14, 1999 (as amended, modified or supplemented from time to time, the "EPC Contract");</w:t>
      </w:r>
    </w:p>
    <w:p>
      <w:pPr>
        <w:pStyle w:val="BodyText"/>
        <w:widowControl/>
        <w:rPr>
          <w:strike/>
        </w:rPr>
      </w:pPr>
      <w:r>
        <w:rPr>
          <w:strike/>
        </w:rPr>
        <w:t>WHEREAS, Contractor is an indirect subsidiary of Guarantor;</w:t>
      </w:r>
    </w:p>
    <w:p>
      <w:pPr>
        <w:pStyle w:val="BodyText"/>
        <w:widowControl/>
        <w:rPr/>
      </w:pPr>
      <w:r>
        <w:rPr>
          <w:strike/>
        </w:rPr>
        <w:t>WHEREAS,</w:t>
      </w:r>
      <w:r>
        <w:rPr/>
        <w:t xml:space="preserve"> </w:t>
      </w:r>
      <w:r>
        <w:rPr>
          <w:b/>
          <w:bCs/>
          <w:u w:val="double"/>
        </w:rPr>
        <w:t>WHEREAS, by accepting</w:t>
      </w:r>
      <w:r>
        <w:rPr/>
        <w:t xml:space="preserve"> the execution and delivery by the Guarantor of this </w:t>
      </w:r>
      <w:r>
        <w:rPr>
          <w:strike/>
        </w:rPr>
        <w:t>Enron</w:t>
      </w:r>
      <w:r>
        <w:rPr/>
        <w:t xml:space="preserve"> Guaranty </w:t>
      </w:r>
      <w:r>
        <w:rPr>
          <w:b/>
          <w:bCs/>
          <w:u w:val="double"/>
        </w:rPr>
        <w:t>Seller agrees that this Guaranty is in form and substance satisfactory to Seller</w:t>
      </w:r>
      <w:r>
        <w:rPr/>
        <w:t xml:space="preserve"> </w:t>
      </w:r>
      <w:r>
        <w:rPr>
          <w:strike/>
        </w:rPr>
        <w:t>are conditions precedent to the performance by the Senior Agent and the Senior Lenders under the Senior Financing Agreement;</w:t>
      </w:r>
    </w:p>
    <w:p>
      <w:pPr>
        <w:pStyle w:val="BodyText"/>
        <w:widowControl/>
        <w:rPr/>
      </w:pPr>
      <w:r>
        <w:rPr>
          <w:strike/>
        </w:rPr>
        <w:t>WHEREAS, the execution and delivery by the Guarantor of this Enron Guaranty are conditions precedent to the performance by the Junior Agent and the Junior Lenders under the Junior Financing Agreement</w:t>
      </w:r>
      <w:r>
        <w:rPr/>
        <w:t xml:space="preserve">; and </w:t>
      </w:r>
    </w:p>
    <w:p>
      <w:pPr>
        <w:pStyle w:val="BodyText"/>
        <w:widowControl/>
        <w:rPr/>
      </w:pPr>
      <w:r>
        <w:rPr/>
        <w:t xml:space="preserve">WHEREAS, the guaranties provided in this </w:t>
      </w:r>
      <w:r>
        <w:rPr>
          <w:strike/>
        </w:rPr>
        <w:t>Enron</w:t>
      </w:r>
      <w:r>
        <w:rPr/>
        <w:t xml:space="preserve"> Guaranty reasonably may be expected to benefit, directly or indirectly, the Guarantor</w:t>
      </w:r>
      <w:r>
        <w:rPr>
          <w:strike/>
        </w:rPr>
        <w:t>,</w:t>
      </w:r>
      <w:r>
        <w:rPr>
          <w:b/>
          <w:bCs/>
          <w:u w:val="double"/>
        </w:rPr>
        <w:t>;</w:t>
      </w:r>
    </w:p>
    <w:p>
      <w:pPr>
        <w:pStyle w:val="BodyText"/>
        <w:widowControl/>
        <w:rPr/>
      </w:pPr>
      <w:r>
        <w:rPr/>
        <w:t xml:space="preserve">NOW, THEREFORE, in consideration of the foregoing, the Guarantor hereby agrees as follows: </w:t>
      </w:r>
    </w:p>
    <w:p>
      <w:pPr>
        <w:pStyle w:val="Pleading1L1"/>
        <w:keepNext w:val="true"/>
        <w:widowControl/>
        <w:rPr>
          <w:vanish/>
          <w:color w:val="FF0000"/>
        </w:rPr>
      </w:pPr>
      <w:r>
        <w:rPr>
          <w:color w:val="FF0000"/>
          <w:u w:val="none"/>
        </w:rPr>
        <w:t>Section 1.</w:t>
        <w:tab/>
      </w:r>
      <w:r>
        <w:rPr>
          <w:strike/>
        </w:rPr>
        <w:t>Enron</w:t>
      </w:r>
      <w:r>
        <w:rPr/>
        <w:t xml:space="preserve"> Guaranty</w:t>
      </w:r>
    </w:p>
    <w:p>
      <w:pPr>
        <w:pStyle w:val="BodyText"/>
        <w:keepNext w:val="true"/>
        <w:widowControl/>
        <w:rPr/>
      </w:pPr>
      <w:r>
        <w:rPr/>
        <w:t xml:space="preserve">.  </w:t>
        <w:tab/>
      </w:r>
    </w:p>
    <w:p>
      <w:pPr>
        <w:pStyle w:val="Pleading1L2"/>
        <w:widowControl/>
        <w:rPr/>
      </w:pPr>
      <w:r>
        <w:rPr/>
        <w:t>(a)    </w:t>
      </w:r>
      <w:r>
        <w:rPr>
          <w:strike/>
        </w:rPr>
        <w:t xml:space="preserve"> For the purposes of this Enron Guaranty, (i) "Agent" shall mean the Senior Agent until all Senior Obligations under the Senior Financing Agreement are performed in full, and shall mean Junior Agent thereafter, and (ii) "Lenders" shall mean the Senior Lenders until all Senior Obligations under the Senior Financing Agreement are performed in full, and shall mean Junior Lenders thereafter.</w:t>
      </w:r>
    </w:p>
    <w:p>
      <w:pPr>
        <w:pStyle w:val="Pleading1L2"/>
        <w:widowControl/>
        <w:rPr/>
      </w:pPr>
      <w:r>
        <w:rPr>
          <w:strike/>
        </w:rPr>
        <w:t>(b)    </w:t>
      </w:r>
      <w:r>
        <w:rPr/>
        <w:tab/>
        <w:t xml:space="preserve">The Guarantor hereby unconditionally and irrevocably guarantees to </w:t>
      </w:r>
      <w:r>
        <w:rPr>
          <w:strike/>
        </w:rPr>
        <w:t>Agent for the benefit of the Lenders</w:t>
      </w:r>
      <w:r>
        <w:rPr/>
        <w:t xml:space="preserve"> </w:t>
      </w:r>
      <w:r>
        <w:rPr>
          <w:b/>
          <w:bCs/>
          <w:u w:val="double"/>
        </w:rPr>
        <w:t>Seller</w:t>
      </w:r>
      <w:r>
        <w:rPr/>
        <w:t xml:space="preserve">, upon ten (10) Banking Days' written notice by </w:t>
      </w:r>
      <w:r>
        <w:rPr>
          <w:strike/>
        </w:rPr>
        <w:t>Agent, payment</w:t>
      </w:r>
      <w:r>
        <w:rPr/>
        <w:t xml:space="preserve"> </w:t>
      </w:r>
      <w:r>
        <w:rPr>
          <w:b/>
          <w:bCs/>
          <w:u w:val="double"/>
        </w:rPr>
        <w:t>Seller, satisfaction</w:t>
      </w:r>
      <w:r>
        <w:rPr/>
        <w:t xml:space="preserve"> when due</w:t>
      </w:r>
      <w:r>
        <w:rPr>
          <w:strike/>
        </w:rPr>
        <w:t>,</w:t>
      </w:r>
      <w:r>
        <w:rPr/>
        <w:t xml:space="preserve"> of the </w:t>
      </w:r>
      <w:r>
        <w:rPr>
          <w:strike/>
        </w:rPr>
        <w:t>payment</w:t>
      </w:r>
      <w:r>
        <w:rPr/>
        <w:t xml:space="preserve"> obligations of </w:t>
      </w:r>
      <w:r>
        <w:rPr>
          <w:strike/>
        </w:rPr>
        <w:t>Contractor under Section 8 of the EPC Contract</w:t>
      </w:r>
      <w:r>
        <w:rPr/>
        <w:t xml:space="preserve"> </w:t>
      </w:r>
      <w:r>
        <w:rPr>
          <w:b/>
          <w:bCs/>
          <w:u w:val="double"/>
        </w:rPr>
        <w:t>Purchaser under the Agreement</w:t>
      </w:r>
      <w:r>
        <w:rPr/>
        <w:t xml:space="preserve"> (the "</w:t>
      </w:r>
      <w:r>
        <w:rPr>
          <w:u w:val="single"/>
        </w:rPr>
        <w:t>Guaranteed Obligations</w:t>
      </w:r>
      <w:r>
        <w:rPr/>
        <w:t xml:space="preserve">"); </w:t>
      </w:r>
      <w:r>
        <w:rPr>
          <w:u w:val="single"/>
        </w:rPr>
        <w:t>provided</w:t>
      </w:r>
      <w:r>
        <w:rPr/>
        <w:t xml:space="preserve"> that, except as otherwise indicated in </w:t>
      </w:r>
      <w:r>
        <w:rPr>
          <w:u w:val="single"/>
        </w:rPr>
        <w:t xml:space="preserve">Section </w:t>
      </w:r>
      <w:r>
        <w:rPr>
          <w:strike/>
          <w:u w:val="single"/>
        </w:rPr>
        <w:t>15</w:t>
      </w:r>
      <w:r>
        <w:rPr>
          <w:u w:val="single"/>
        </w:rPr>
        <w:t xml:space="preserve"> </w:t>
      </w:r>
      <w:r>
        <w:rPr>
          <w:b/>
          <w:bCs/>
          <w:u w:val="double"/>
        </w:rPr>
        <w:t>14</w:t>
      </w:r>
      <w:r>
        <w:rPr/>
        <w:t xml:space="preserve"> </w:t>
      </w:r>
      <w:r>
        <w:rPr>
          <w:b/>
          <w:bCs/>
          <w:u w:val="double"/>
        </w:rPr>
        <w:t>hereof</w:t>
      </w:r>
      <w:r>
        <w:rPr/>
        <w:t xml:space="preserve">,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w:t>
      </w:r>
      <w:r>
        <w:rPr>
          <w:strike/>
        </w:rPr>
        <w:t>Enron</w:t>
      </w:r>
      <w:r>
        <w:rPr/>
        <w:t xml:space="preserve"> Guaranty upon the occurrence of any event or condition giving rise to the obligation of the Guarantor to pay such Guaranteed Obligations</w:t>
      </w:r>
      <w:r>
        <w:rPr>
          <w:strike/>
        </w:rPr>
        <w:t>, provided that the notice provision in this Section 1(b) is satisfied</w:t>
      </w:r>
      <w:r>
        <w:rPr/>
        <w:t xml:space="preserve">.  The liability of the Guarantor under this </w:t>
      </w:r>
      <w:r>
        <w:rPr>
          <w:strike/>
        </w:rPr>
        <w:t>Enron</w:t>
      </w:r>
      <w:r>
        <w:rPr/>
        <w:t xml:space="preserve"> Guaranty is a guaranty of payment and not of collection.  </w:t>
      </w:r>
      <w:r>
        <w:rPr>
          <w:b/>
          <w:bCs/>
          <w:u w:val="double"/>
        </w:rPr>
        <w:t xml:space="preserve">The liability of the Guarantor under this Guaranty is a direct obligation and is not contingent upon any action or inaction by Purchaser or any other party.  </w:t>
      </w:r>
    </w:p>
    <w:p>
      <w:pPr>
        <w:pStyle w:val="Pleading1L2"/>
        <w:widowControl/>
        <w:rPr/>
      </w:pPr>
      <w:r>
        <w:rPr>
          <w:b/>
          <w:bCs/>
          <w:u w:val="double"/>
        </w:rPr>
        <w:t>(b)    </w:t>
      </w:r>
      <w:r>
        <w:rPr/>
        <w:tab/>
      </w:r>
      <w:r>
        <w:rPr>
          <w:b/>
          <w:bCs/>
          <w:u w:val="double"/>
        </w:rPr>
        <w:t>Except as otherwise indicated in Section 14</w:t>
      </w:r>
      <w:r>
        <w:rPr/>
        <w:t xml:space="preserve"> </w:t>
      </w:r>
      <w:r>
        <w:rPr>
          <w:b/>
          <w:bCs/>
          <w:u w:val="double"/>
        </w:rPr>
        <w:t>hereof, the maximum amount required to be paid by the Guarantor pursuant to this Guaranty shall not exceed</w:t>
      </w:r>
      <w:r>
        <w:rPr>
          <w:strike/>
        </w:rPr>
        <w:t>(c)     For purposes of this Enron Guaranty, the term "Guaranteed Amount" shall mean, at any time,</w:t>
      </w:r>
      <w:r>
        <w:rPr/>
        <w:t xml:space="preserve"> an amount </w:t>
      </w:r>
      <w:r>
        <w:rPr>
          <w:b/>
          <w:bCs/>
          <w:u w:val="double"/>
        </w:rPr>
        <w:t>(the "Guaranteed Amount")</w:t>
      </w:r>
      <w:r>
        <w:rPr/>
        <w:t xml:space="preserve"> equal to (i) </w:t>
      </w:r>
      <w:r>
        <w:rPr>
          <w:strike/>
        </w:rPr>
        <w:t>Twenty Six</w:t>
      </w:r>
      <w:r>
        <w:rPr/>
        <w:t xml:space="preserve"> </w:t>
      </w:r>
      <w:r>
        <w:rPr>
          <w:b/>
          <w:bCs/>
          <w:u w:val="double"/>
        </w:rPr>
        <w:t>One Hundred</w:t>
      </w:r>
      <w:r>
        <w:rPr/>
        <w:t xml:space="preserve"> Million </w:t>
      </w:r>
      <w:r>
        <w:rPr>
          <w:strike/>
        </w:rPr>
        <w:t>Nine Hundred Ten Thousand Six Hundred Thirty-Two Dollars ($ 26,910,632)</w:t>
      </w:r>
      <w:r>
        <w:rPr/>
        <w:t xml:space="preserve"> </w:t>
      </w:r>
      <w:r>
        <w:rPr>
          <w:b/>
          <w:bCs/>
          <w:u w:val="double"/>
        </w:rPr>
        <w:t>Dollars ($100,000,000)</w:t>
      </w:r>
      <w:r>
        <w:rPr/>
        <w:t xml:space="preserve"> minus (ii) the aggregate of all amounts previously paid by the Guarantor </w:t>
      </w:r>
      <w:r>
        <w:rPr>
          <w:strike/>
        </w:rPr>
        <w:t>hereunder</w:t>
      </w:r>
      <w:r>
        <w:rPr/>
        <w:t xml:space="preserve"> </w:t>
      </w:r>
      <w:r>
        <w:rPr>
          <w:b/>
          <w:bCs/>
          <w:u w:val="double"/>
        </w:rPr>
        <w:t>under this Guaranty (other than amounts paid pursuant to the provisions of Section 14</w:t>
      </w:r>
      <w:r>
        <w:rPr/>
        <w:t xml:space="preserve"> </w:t>
      </w:r>
      <w:r>
        <w:rPr>
          <w:b/>
          <w:bCs/>
          <w:u w:val="double"/>
        </w:rPr>
        <w:t>hereof)</w:t>
      </w:r>
      <w:r>
        <w:rPr/>
        <w:t xml:space="preserve">.  </w:t>
      </w:r>
    </w:p>
    <w:p>
      <w:pPr>
        <w:pStyle w:val="Pleading1L1"/>
        <w:keepNext w:val="true"/>
        <w:widowControl/>
        <w:rPr>
          <w:vanish/>
          <w:color w:val="FF0000"/>
        </w:rPr>
      </w:pPr>
      <w:r>
        <w:rPr>
          <w:color w:val="FF0000"/>
          <w:u w:val="none"/>
        </w:rPr>
        <w:t>Section 2.</w:t>
        <w:tab/>
      </w:r>
      <w:r>
        <w:rPr>
          <w:strike/>
        </w:rPr>
        <w:t>Enron</w:t>
      </w:r>
      <w:r>
        <w:rPr/>
        <w:t xml:space="preserve"> Guaranty Absolute</w:t>
      </w:r>
    </w:p>
    <w:p>
      <w:pPr>
        <w:pStyle w:val="Normal"/>
        <w:keepNext w:val="true"/>
        <w:widowControl/>
        <w:rPr/>
      </w:pPr>
      <w:r>
        <w:rPr/>
        <w:t xml:space="preserve">.  The liability of the Guarantor under this </w:t>
      </w:r>
      <w:r>
        <w:rPr>
          <w:strike/>
        </w:rPr>
        <w:t>Enron</w:t>
      </w:r>
      <w:r>
        <w:rPr/>
        <w:t xml:space="preserve"> Guaranty is absolute, irrevocable and unconditional and shall be unaffected by:</w:t>
      </w:r>
    </w:p>
    <w:p>
      <w:pPr>
        <w:pStyle w:val="Pleading1L2"/>
        <w:widowControl/>
        <w:rPr/>
      </w:pPr>
      <w:r>
        <w:rPr/>
        <w:t>(a)    </w:t>
        <w:tab/>
        <w:t xml:space="preserve">any lack of validity or enforceability of the </w:t>
      </w:r>
      <w:r>
        <w:rPr>
          <w:strike/>
        </w:rPr>
        <w:t>Senior Financing</w:t>
      </w:r>
      <w:r>
        <w:rPr/>
        <w:t xml:space="preserve"> Agreement</w:t>
      </w:r>
      <w:r>
        <w:rPr>
          <w:strike/>
        </w:rPr>
        <w:t>, the Junior Financing Agreement, the EPC Contract</w:t>
      </w:r>
      <w:r>
        <w:rPr/>
        <w:t xml:space="preserve"> or any agreement or instrument relating thereto; </w:t>
      </w:r>
    </w:p>
    <w:p>
      <w:pPr>
        <w:pStyle w:val="Pleading1L2"/>
        <w:widowControl/>
        <w:rPr/>
      </w:pPr>
      <w:r>
        <w:rPr/>
        <w:t>(b)    </w:t>
        <w:tab/>
        <w:t xml:space="preserve">the existence of any claim, setoff, defense or other right which </w:t>
      </w:r>
      <w:r>
        <w:rPr>
          <w:strike/>
        </w:rPr>
        <w:t>the Borrower or the Contractor</w:t>
      </w:r>
      <w:r>
        <w:rPr/>
        <w:t xml:space="preserve"> </w:t>
      </w:r>
      <w:r>
        <w:rPr>
          <w:b/>
          <w:bCs/>
          <w:u w:val="double"/>
        </w:rPr>
        <w:t>Purchaser</w:t>
      </w:r>
      <w:r>
        <w:rPr/>
        <w:t xml:space="preserve"> may have against </w:t>
      </w:r>
      <w:r>
        <w:rPr>
          <w:strike/>
        </w:rPr>
        <w:t>Agent or the Lenders;</w:t>
      </w:r>
      <w:r>
        <w:rPr/>
        <w:t xml:space="preserve"> </w:t>
      </w:r>
      <w:r>
        <w:rPr>
          <w:b/>
          <w:bCs/>
          <w:u w:val="double"/>
        </w:rPr>
        <w:t>Seller;</w:t>
      </w:r>
      <w:r>
        <w:rPr/>
        <w:t xml:space="preserve"> </w:t>
      </w:r>
    </w:p>
    <w:p>
      <w:pPr>
        <w:pStyle w:val="Pleading1L2"/>
        <w:widowControl/>
        <w:rPr/>
      </w:pPr>
      <w:r>
        <w:rPr/>
        <w:t>(c)    </w:t>
        <w:tab/>
        <w:t xml:space="preserve">any </w:t>
      </w:r>
      <w:r>
        <w:rPr>
          <w:strike/>
        </w:rPr>
        <w:t>Governmental Rule</w:t>
      </w:r>
      <w:r>
        <w:rPr/>
        <w:t xml:space="preserve"> </w:t>
      </w:r>
      <w:r>
        <w:rPr>
          <w:b/>
          <w:bCs/>
          <w:u w:val="double"/>
        </w:rPr>
        <w:t>governmental requirement</w:t>
      </w:r>
      <w:r>
        <w:rPr/>
        <w:t xml:space="preserve"> now or hereafter in effect in any jurisdiction affecting any of the terms of the </w:t>
      </w:r>
      <w:r>
        <w:rPr>
          <w:strike/>
        </w:rPr>
        <w:t>Senior Financing</w:t>
      </w:r>
      <w:r>
        <w:rPr/>
        <w:t xml:space="preserve"> Agreement</w:t>
      </w:r>
      <w:r>
        <w:rPr>
          <w:strike/>
        </w:rPr>
        <w:t>, the Junior Financing Agreement, the EPC Contract</w:t>
      </w:r>
      <w:r>
        <w:rPr/>
        <w:t xml:space="preserve"> or rights of </w:t>
      </w:r>
      <w:r>
        <w:rPr>
          <w:strike/>
        </w:rPr>
        <w:t>the Agent or the Lenders</w:t>
      </w:r>
      <w:r>
        <w:rPr/>
        <w:t xml:space="preserve"> </w:t>
      </w:r>
      <w:r>
        <w:rPr>
          <w:b/>
          <w:bCs/>
          <w:u w:val="double"/>
        </w:rPr>
        <w:t>Seller</w:t>
      </w:r>
      <w:r>
        <w:rPr/>
        <w:t xml:space="preserve"> with respect thereto; </w:t>
      </w:r>
    </w:p>
    <w:p>
      <w:pPr>
        <w:pStyle w:val="Pleading1L2"/>
        <w:widowControl/>
        <w:rPr/>
      </w:pPr>
      <w:r>
        <w:rPr/>
        <w:t>(d)    </w:t>
        <w:tab/>
        <w:t xml:space="preserve">the existence of, or any release or amendment or waiver of or consent to departure from, any other guaranty, for all or any of the Guaranteed Obligations; </w:t>
      </w:r>
    </w:p>
    <w:p>
      <w:pPr>
        <w:pStyle w:val="Pleading1L2"/>
        <w:widowControl/>
        <w:rPr/>
      </w:pPr>
      <w:r>
        <w:rPr/>
        <w:t>(e)    </w:t>
        <w:tab/>
        <w:t xml:space="preserve">the failure of </w:t>
      </w:r>
      <w:r>
        <w:rPr>
          <w:strike/>
        </w:rPr>
        <w:t>the Agent or the Lenders</w:t>
      </w:r>
      <w:r>
        <w:rPr/>
        <w:t xml:space="preserve"> </w:t>
      </w:r>
      <w:r>
        <w:rPr>
          <w:b/>
          <w:bCs/>
          <w:u w:val="double"/>
        </w:rPr>
        <w:t>Seller</w:t>
      </w:r>
      <w:r>
        <w:rPr/>
        <w:t xml:space="preserve"> to assert any claim or demand or to enforce any right or remedy under the </w:t>
      </w:r>
      <w:r>
        <w:rPr>
          <w:strike/>
        </w:rPr>
        <w:t>Senior Financing</w:t>
      </w:r>
      <w:r>
        <w:rPr/>
        <w:t xml:space="preserve"> Agreement</w:t>
      </w:r>
      <w:r>
        <w:rPr>
          <w:strike/>
        </w:rPr>
        <w:t>, the Junior Financing Agreement or the EPC Contract</w:t>
      </w:r>
      <w:r>
        <w:rPr/>
        <w:t xml:space="preserve">; </w:t>
      </w:r>
    </w:p>
    <w:p>
      <w:pPr>
        <w:pStyle w:val="Pleading1L2"/>
        <w:widowControl/>
        <w:rPr/>
      </w:pPr>
      <w:r>
        <w:rPr/>
        <w:t>(f)    </w:t>
        <w:tab/>
        <w:t xml:space="preserve">the bankruptcy, dissolution, liquidation or winding up of </w:t>
      </w:r>
      <w:r>
        <w:rPr>
          <w:strike/>
        </w:rPr>
        <w:t>Borrower, Contractor</w:t>
      </w:r>
      <w:r>
        <w:rPr/>
        <w:t xml:space="preserve"> </w:t>
      </w:r>
      <w:r>
        <w:rPr>
          <w:b/>
          <w:bCs/>
          <w:u w:val="double"/>
        </w:rPr>
        <w:t>Purchaser</w:t>
      </w:r>
      <w:r>
        <w:rPr/>
        <w:t xml:space="preserve"> or any other </w:t>
      </w:r>
      <w:r>
        <w:rPr>
          <w:strike/>
        </w:rPr>
        <w:t>Person</w:t>
      </w:r>
      <w:r>
        <w:rPr/>
        <w:t xml:space="preserve"> </w:t>
      </w:r>
      <w:r>
        <w:rPr>
          <w:b/>
          <w:bCs/>
          <w:u w:val="double"/>
        </w:rPr>
        <w:t>person or entity</w:t>
      </w:r>
      <w:r>
        <w:rPr/>
        <w:t xml:space="preserve"> or any defense that may arise in connection with or as a result of any such bankruptcy, insolvency, receivership or other proceedings; </w:t>
      </w:r>
    </w:p>
    <w:p>
      <w:pPr>
        <w:pStyle w:val="Pleading1L2"/>
        <w:widowControl/>
        <w:rPr/>
      </w:pPr>
      <w:r>
        <w:rPr/>
        <w:t>(g)    </w:t>
        <w:tab/>
        <w:t xml:space="preserve">the absence of any notice to, or knowledge by, the Guarantor of the existence or occurrence of any of the matters or events set forth in the foregoing clauses; </w:t>
      </w:r>
    </w:p>
    <w:p>
      <w:pPr>
        <w:pStyle w:val="Pleading1L2"/>
        <w:widowControl/>
        <w:rPr/>
      </w:pPr>
      <w:r>
        <w:rPr/>
        <w:t>(h)    </w:t>
        <w:tab/>
        <w:t xml:space="preserve">any changes made to the terms of the </w:t>
      </w:r>
      <w:r>
        <w:rPr>
          <w:strike/>
        </w:rPr>
        <w:t>Senior Financing</w:t>
      </w:r>
      <w:r>
        <w:rPr/>
        <w:t xml:space="preserve"> Agreement, </w:t>
      </w:r>
      <w:r>
        <w:rPr>
          <w:strike/>
        </w:rPr>
        <w:t>the Junior Financing Agreement or the EPC Contract</w:t>
      </w:r>
      <w:r>
        <w:rPr/>
        <w:t xml:space="preserve">(provided, however, that no such change shall result in an increase of the amount </w:t>
      </w:r>
      <w:r>
        <w:rPr>
          <w:strike/>
        </w:rPr>
        <w:t>guaranteed hereunder pursuant to Section 8 of the EPC Contract as in effect on the Senior Closing Date (as defined in the Senior Financing Agreement))</w:t>
      </w:r>
      <w:r>
        <w:rPr/>
        <w:t xml:space="preserve"> </w:t>
      </w:r>
      <w:r>
        <w:rPr>
          <w:b/>
          <w:bCs/>
          <w:u w:val="double"/>
        </w:rPr>
        <w:t>required to be paid under this Guaranty)</w:t>
      </w:r>
      <w:r>
        <w:rPr/>
        <w:t>; or</w:t>
      </w:r>
    </w:p>
    <w:p>
      <w:pPr>
        <w:pStyle w:val="Pleading1L2"/>
        <w:widowControl/>
        <w:rPr/>
      </w:pPr>
      <w:r>
        <w:rPr/>
        <w:t>(i)    </w:t>
        <w:tab/>
        <w:t xml:space="preserve">any other circumstances, condition or event that might constitute or give rise to a defense to performance by the Guarantor of its obligations under this </w:t>
      </w:r>
      <w:r>
        <w:rPr>
          <w:strike/>
        </w:rPr>
        <w:t>Enron</w:t>
      </w:r>
      <w:r>
        <w:rPr/>
        <w:t xml:space="preserve"> Guaranty.</w:t>
      </w:r>
    </w:p>
    <w:p>
      <w:pPr>
        <w:pStyle w:val="Pleading1L1"/>
        <w:keepNext w:val="true"/>
        <w:widowControl/>
        <w:rPr>
          <w:vanish/>
          <w:color w:val="FF0000"/>
        </w:rPr>
      </w:pPr>
      <w:r>
        <w:rPr>
          <w:color w:val="FF0000"/>
          <w:u w:val="none"/>
        </w:rPr>
        <w:t>Section 3.</w:t>
        <w:tab/>
      </w:r>
      <w:r>
        <w:rPr/>
        <w:t>Waiver</w:t>
      </w:r>
    </w:p>
    <w:p>
      <w:pPr>
        <w:pStyle w:val="Normal"/>
        <w:keepNext w:val="true"/>
        <w:widowControl/>
        <w:rPr/>
      </w:pPr>
      <w:r>
        <w:rPr/>
        <w:t xml:space="preserve">.  In addition to waiving any defense to payment referred to in </w:t>
      </w:r>
      <w:r>
        <w:rPr>
          <w:u w:val="single"/>
        </w:rPr>
        <w:t>Section 2</w:t>
      </w:r>
      <w:r>
        <w:rPr/>
        <w:t xml:space="preserve"> hereof:</w:t>
      </w:r>
    </w:p>
    <w:p>
      <w:pPr>
        <w:pStyle w:val="Pleading1L2"/>
        <w:widowControl/>
        <w:rPr/>
      </w:pPr>
      <w:r>
        <w:rPr/>
        <w:t>(a)    </w:t>
        <w:tab/>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w:t>
      </w:r>
      <w:r>
        <w:rPr>
          <w:strike/>
        </w:rPr>
        <w:t>Agent</w:t>
      </w:r>
      <w:r>
        <w:rPr/>
        <w:t xml:space="preserve"> </w:t>
      </w:r>
      <w:r>
        <w:rPr>
          <w:b/>
          <w:bCs/>
          <w:u w:val="double"/>
        </w:rPr>
        <w:t>Seller</w:t>
      </w:r>
      <w:r>
        <w:rPr/>
        <w:t xml:space="preserve"> of, this </w:t>
      </w:r>
      <w:r>
        <w:rPr>
          <w:strike/>
        </w:rPr>
        <w:t>Enron</w:t>
      </w:r>
      <w:r>
        <w:rPr/>
        <w:t xml:space="preserve"> Guaranty. </w:t>
      </w:r>
    </w:p>
    <w:p>
      <w:pPr>
        <w:pStyle w:val="Pleading1L2"/>
        <w:widowControl/>
        <w:rPr/>
      </w:pPr>
      <w:r>
        <w:rPr/>
        <w:t>(b)    </w:t>
        <w:tab/>
        <w:t xml:space="preserve">Except as otherwise set forth herein, the Guarantor waives presentment, promptness, diligence, notice of acceptance, and any other notice with respect to any of the Guaranteed Obligations and this </w:t>
      </w:r>
      <w:r>
        <w:rPr>
          <w:strike/>
        </w:rPr>
        <w:t>Enron</w:t>
      </w:r>
      <w:r>
        <w:rPr/>
        <w:t xml:space="preserve"> Guaranty and any requirement that </w:t>
      </w:r>
      <w:r>
        <w:rPr>
          <w:strike/>
        </w:rPr>
        <w:t>Agent</w:t>
      </w:r>
      <w:r>
        <w:rPr/>
        <w:t xml:space="preserve"> </w:t>
      </w:r>
      <w:r>
        <w:rPr>
          <w:b/>
          <w:bCs/>
          <w:u w:val="double"/>
        </w:rPr>
        <w:t>Seller</w:t>
      </w:r>
      <w:r>
        <w:rPr/>
        <w:t xml:space="preserve"> protect, secure, perfect, or insure any collateral or exhaust any right or take any action against </w:t>
      </w:r>
      <w:r>
        <w:rPr>
          <w:strike/>
        </w:rPr>
        <w:t>Borrower, Contractor</w:t>
      </w:r>
      <w:r>
        <w:rPr/>
        <w:t xml:space="preserve"> </w:t>
      </w:r>
      <w:r>
        <w:rPr>
          <w:b/>
          <w:bCs/>
          <w:u w:val="double"/>
        </w:rPr>
        <w:t>Purchaser</w:t>
      </w:r>
      <w:r>
        <w:rPr/>
        <w:t xml:space="preserve"> or any other </w:t>
      </w:r>
      <w:r>
        <w:rPr>
          <w:strike/>
        </w:rPr>
        <w:t>Person</w:t>
      </w:r>
      <w:r>
        <w:rPr/>
        <w:t xml:space="preserve"> </w:t>
      </w:r>
      <w:r>
        <w:rPr>
          <w:b/>
          <w:bCs/>
          <w:u w:val="double"/>
        </w:rPr>
        <w:t>person or entity</w:t>
      </w:r>
      <w:r>
        <w:rPr/>
        <w:t xml:space="preserve"> or any collateral. </w:t>
      </w:r>
    </w:p>
    <w:p>
      <w:pPr>
        <w:pStyle w:val="Pleading1L2"/>
        <w:widowControl/>
        <w:rPr/>
      </w:pPr>
      <w:r>
        <w:rPr/>
        <w:t>(c)    </w:t>
        <w:tab/>
        <w:t xml:space="preserve">The Guarantor represents, warrants and agrees that its obligations under this </w:t>
      </w:r>
      <w:r>
        <w:rPr>
          <w:strike/>
        </w:rPr>
        <w:t>Enron</w:t>
      </w:r>
      <w:r>
        <w:rPr/>
        <w:t xml:space="preserve"> Guaranty are not subject to any offsets or defenses of any kind against </w:t>
      </w:r>
      <w:r>
        <w:rPr>
          <w:strike/>
        </w:rPr>
        <w:t>the Agent or Contractor</w:t>
      </w:r>
      <w:r>
        <w:rPr/>
        <w:t xml:space="preserve"> </w:t>
      </w:r>
      <w:r>
        <w:rPr>
          <w:b/>
          <w:bCs/>
          <w:u w:val="double"/>
        </w:rPr>
        <w:t>Seller</w:t>
      </w:r>
      <w:r>
        <w:rPr/>
        <w:t xml:space="preserve">.  The Guarantor further agrees that its obligations under this </w:t>
      </w:r>
      <w:r>
        <w:rPr>
          <w:strike/>
        </w:rPr>
        <w:t>Enron</w:t>
      </w:r>
      <w:r>
        <w:rPr/>
        <w:t xml:space="preserve"> Guaranty shall not be subject to any counterclaims, offsets or defenses against </w:t>
      </w:r>
      <w:r>
        <w:rPr>
          <w:strike/>
        </w:rPr>
        <w:t>Agent or Contractor</w:t>
      </w:r>
      <w:r>
        <w:rPr/>
        <w:t xml:space="preserve"> </w:t>
      </w:r>
      <w:r>
        <w:rPr>
          <w:b/>
          <w:bCs/>
          <w:u w:val="double"/>
        </w:rPr>
        <w:t>Seller</w:t>
      </w:r>
      <w:r>
        <w:rPr/>
        <w:t xml:space="preserve"> of any kind which may arise in the future. </w:t>
      </w:r>
    </w:p>
    <w:p>
      <w:pPr>
        <w:pStyle w:val="Pleading1L1"/>
        <w:keepNext w:val="true"/>
        <w:widowControl/>
        <w:rPr>
          <w:vanish/>
          <w:color w:val="FF0000"/>
        </w:rPr>
      </w:pPr>
      <w:r>
        <w:rPr>
          <w:color w:val="FF0000"/>
          <w:u w:val="none"/>
        </w:rPr>
        <w:t>Section 4.</w:t>
        <w:tab/>
      </w:r>
      <w:r>
        <w:rPr/>
        <w:t>Representations and Warranties</w:t>
      </w:r>
    </w:p>
    <w:p>
      <w:pPr>
        <w:pStyle w:val="Normal"/>
        <w:keepNext w:val="true"/>
        <w:widowControl/>
        <w:rPr/>
      </w:pPr>
      <w:r>
        <w:rPr/>
        <w:t xml:space="preserve">.  The Guarantor hereby represents and warrants as of the date hereof as follows: </w:t>
      </w:r>
    </w:p>
    <w:p>
      <w:pPr>
        <w:pStyle w:val="Pleading1L2"/>
        <w:widowControl/>
        <w:rPr/>
      </w:pPr>
      <w:r>
        <w:rPr/>
        <w:t>(a)    </w:t>
        <w:tab/>
      </w:r>
      <w:r>
        <w:rPr>
          <w:u w:val="single"/>
        </w:rPr>
        <w:t>Due Organization</w:t>
      </w:r>
      <w:r>
        <w:rPr/>
        <w:t xml:space="preserve">.  The Guarantor is a corporation duly organized and validly existing under the laws of the State of </w:t>
      </w:r>
      <w:r>
        <w:rPr>
          <w:b/>
          <w:bCs/>
          <w:u w:val="double"/>
        </w:rPr>
        <w:t>[</w:t>
      </w:r>
      <w:r>
        <w:rPr/>
        <w:t>Oregon</w:t>
      </w:r>
      <w:r>
        <w:rPr>
          <w:b/>
          <w:bCs/>
          <w:u w:val="double"/>
        </w:rPr>
        <w:t>]</w:t>
      </w:r>
      <w:r>
        <w:rPr/>
        <w:t xml:space="preserve"> and has the power and authority to carry on its business as now conducted.</w:t>
      </w:r>
    </w:p>
    <w:p>
      <w:pPr>
        <w:pStyle w:val="Pleading1L2"/>
        <w:widowControl/>
        <w:rPr/>
      </w:pPr>
      <w:r>
        <w:rPr/>
        <w:t>(b)    </w:t>
        <w:tab/>
      </w:r>
      <w:r>
        <w:rPr>
          <w:u w:val="single"/>
        </w:rPr>
        <w:t>Power and Authority</w:t>
      </w:r>
      <w:r>
        <w:rPr/>
        <w:t xml:space="preserve">.  The Guarantor has full corporate power, authority and legal right to enter into this </w:t>
      </w:r>
      <w:r>
        <w:rPr>
          <w:strike/>
        </w:rPr>
        <w:t>Enron</w:t>
      </w:r>
      <w:r>
        <w:rPr/>
        <w:t xml:space="preserve"> Guaranty and to perform its obligations hereunder. </w:t>
      </w:r>
    </w:p>
    <w:p>
      <w:pPr>
        <w:pStyle w:val="Pleading1L2"/>
        <w:widowControl/>
        <w:rPr/>
      </w:pPr>
      <w:r>
        <w:rPr/>
        <w:t>(c)    </w:t>
        <w:tab/>
      </w:r>
      <w:r>
        <w:rPr>
          <w:u w:val="single"/>
        </w:rPr>
        <w:t>Due Authorization</w:t>
      </w:r>
      <w:r>
        <w:rPr/>
        <w:t xml:space="preserve">.  This </w:t>
      </w:r>
      <w:r>
        <w:rPr>
          <w:strike/>
        </w:rPr>
        <w:t>Enron</w:t>
      </w:r>
      <w:r>
        <w:rPr/>
        <w:t xml:space="preserve"> Guaranty has been duly authorized, executed and delivered by the Guarantor. </w:t>
      </w:r>
    </w:p>
    <w:p>
      <w:pPr>
        <w:pStyle w:val="Pleading1L2"/>
        <w:widowControl/>
        <w:rPr/>
      </w:pPr>
      <w:r>
        <w:rPr/>
        <w:t>(d)    </w:t>
        <w:tab/>
      </w:r>
      <w:r>
        <w:rPr>
          <w:u w:val="single"/>
        </w:rPr>
        <w:t>Enforceability</w:t>
      </w:r>
      <w:r>
        <w:rPr/>
        <w:t xml:space="preserve">.  This </w:t>
      </w:r>
      <w:r>
        <w:rPr>
          <w:strike/>
        </w:rPr>
        <w:t>Enron</w:t>
      </w:r>
      <w:r>
        <w:rPr/>
        <w:t xml:space="preserve">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p>
    <w:p>
      <w:pPr>
        <w:pStyle w:val="Pleading1L2"/>
        <w:widowControl/>
        <w:rPr/>
      </w:pPr>
      <w:r>
        <w:rPr/>
        <w:t>(e)    </w:t>
        <w:tab/>
      </w:r>
      <w:r>
        <w:rPr>
          <w:u w:val="single"/>
        </w:rPr>
        <w:t>No Violation</w:t>
      </w:r>
      <w:r>
        <w:rPr/>
        <w:t xml:space="preserve">.  The execution, delivery and performance of this </w:t>
      </w:r>
      <w:r>
        <w:rPr>
          <w:strike/>
        </w:rPr>
        <w:t>Enron</w:t>
      </w:r>
      <w:r>
        <w:rPr/>
        <w:t xml:space="preserve"> Guaranty by Guarantor have been duly authorized, and the execution, delivery and performance do not (i) contravene any </w:t>
      </w:r>
      <w:r>
        <w:rPr>
          <w:strike/>
        </w:rPr>
        <w:t>Legal Requirements (as such term is defined in the Senior Financing Agreement)</w:t>
      </w:r>
      <w:r>
        <w:rPr/>
        <w:t xml:space="preserve"> </w:t>
      </w:r>
      <w:r>
        <w:rPr>
          <w:b/>
          <w:bCs/>
          <w:u w:val="double"/>
        </w:rPr>
        <w:t>governmental requirement</w:t>
      </w:r>
      <w:r>
        <w:rPr/>
        <w:t xml:space="preserve"> or any order, writ, injunction or decree of any court or </w:t>
      </w:r>
      <w:r>
        <w:rPr>
          <w:strike/>
        </w:rPr>
        <w:t>Governmental Authority</w:t>
      </w:r>
      <w:r>
        <w:rPr/>
        <w:t xml:space="preserve"> </w:t>
      </w:r>
      <w:r>
        <w:rPr>
          <w:b/>
          <w:bCs/>
          <w:u w:val="double"/>
        </w:rPr>
        <w:t>governmental authority</w:t>
      </w:r>
      <w:r>
        <w:rPr/>
        <w:t xml:space="preserve">, which contravention could reasonably be expected to have a material adverse effect on the Guarantor's ability to perform its obligations under this </w:t>
      </w:r>
      <w:r>
        <w:rPr>
          <w:strike/>
        </w:rPr>
        <w:t>Enron</w:t>
      </w:r>
      <w:r>
        <w:rPr/>
        <w:t xml:space="preserve">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r>
        <w:rPr>
          <w:u w:val="single"/>
        </w:rPr>
        <w:t>Subsection 4(e)</w:t>
      </w:r>
      <w:r>
        <w:rPr/>
        <w:t xml:space="preserve"> "</w:t>
      </w:r>
      <w:r>
        <w:rPr>
          <w:u w:val="single"/>
        </w:rPr>
        <w:t>material</w:t>
      </w:r>
      <w:r>
        <w:rPr/>
        <w:t xml:space="preserve">" means creating a liability of </w:t>
      </w:r>
      <w:r>
        <w:rPr>
          <w:strike/>
        </w:rPr>
        <w:t>$100,000,000</w:t>
      </w:r>
      <w:r>
        <w:rPr/>
        <w:t xml:space="preserve"> </w:t>
      </w:r>
      <w:r>
        <w:rPr>
          <w:b/>
          <w:bCs/>
          <w:u w:val="double"/>
        </w:rPr>
        <w:t>$50,000,000</w:t>
      </w:r>
      <w:r>
        <w:rPr/>
        <w:t xml:space="preserve"> or more. </w:t>
      </w:r>
    </w:p>
    <w:p>
      <w:pPr>
        <w:pStyle w:val="Pleading1L2"/>
        <w:widowControl/>
        <w:rPr/>
      </w:pPr>
      <w:r>
        <w:rPr/>
        <w:t>(f)    </w:t>
        <w:tab/>
      </w:r>
      <w:r>
        <w:rPr>
          <w:u w:val="single"/>
        </w:rPr>
        <w:t>No Proceedings</w:t>
      </w:r>
      <w:r>
        <w:rPr/>
        <w:t xml:space="preserve">.  Except as disclosed in the Guarantor's Form 10-K for the year ended December 31, </w:t>
      </w:r>
      <w:r>
        <w:rPr>
          <w:strike/>
        </w:rPr>
        <w:t>1998</w:t>
      </w:r>
      <w:r>
        <w:rPr/>
        <w:t xml:space="preserve"> </w:t>
      </w:r>
      <w:r>
        <w:rPr>
          <w:b/>
          <w:bCs/>
          <w:u w:val="double"/>
        </w:rPr>
        <w:t>1999</w:t>
      </w:r>
      <w:r>
        <w:rPr/>
        <w:t xml:space="preserve"> and the Guarantor's Form 10-Q for the periods ended March 31, </w:t>
      </w:r>
      <w:r>
        <w:rPr>
          <w:strike/>
        </w:rPr>
        <w:t>1999</w:t>
      </w:r>
      <w:r>
        <w:rPr/>
        <w:t xml:space="preserve"> </w:t>
      </w:r>
      <w:r>
        <w:rPr>
          <w:b/>
          <w:bCs/>
          <w:u w:val="double"/>
        </w:rPr>
        <w:t>2000</w:t>
      </w:r>
      <w:r>
        <w:rPr/>
        <w:t xml:space="preserve">, June 30, </w:t>
      </w:r>
      <w:r>
        <w:rPr>
          <w:strike/>
        </w:rPr>
        <w:t>1999</w:t>
      </w:r>
      <w:r>
        <w:rPr/>
        <w:t xml:space="preserve"> </w:t>
      </w:r>
      <w:r>
        <w:rPr>
          <w:b/>
          <w:bCs/>
          <w:u w:val="double"/>
        </w:rPr>
        <w:t>2000</w:t>
      </w:r>
      <w:r>
        <w:rPr/>
        <w:t xml:space="preserve"> and September 30, </w:t>
      </w:r>
      <w:r>
        <w:rPr>
          <w:strike/>
        </w:rPr>
        <w:t>1999</w:t>
      </w:r>
      <w:r>
        <w:rPr/>
        <w:t xml:space="preserve"> </w:t>
      </w:r>
      <w:r>
        <w:rPr>
          <w:b/>
          <w:bCs/>
          <w:u w:val="double"/>
        </w:rPr>
        <w:t>2000</w:t>
      </w:r>
      <w:r>
        <w:rPr/>
        <w:t xml:space="preserve">,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w:t>
      </w:r>
      <w:r>
        <w:rPr>
          <w:strike/>
        </w:rPr>
        <w:t>Enron</w:t>
      </w:r>
      <w:r>
        <w:rPr/>
        <w:t xml:space="preserve"> Guaranty. </w:t>
      </w:r>
    </w:p>
    <w:p>
      <w:pPr>
        <w:pStyle w:val="Pleading1L2"/>
        <w:widowControl/>
        <w:rPr/>
      </w:pPr>
      <w:r>
        <w:rPr/>
        <w:t>(g)    </w:t>
        <w:tab/>
      </w:r>
      <w:r>
        <w:rPr>
          <w:u w:val="single"/>
        </w:rPr>
        <w:t>Financial Statements; Financial Condition</w:t>
      </w:r>
      <w:r>
        <w:rPr/>
        <w:t xml:space="preserve">.  The audited consolidated balance sheet of the Guarantor and its subsidiaries as of December 31, </w:t>
      </w:r>
      <w:r>
        <w:rPr>
          <w:strike/>
        </w:rPr>
        <w:t>1998</w:t>
      </w:r>
      <w:r>
        <w:rPr/>
        <w:t xml:space="preserve"> </w:t>
      </w:r>
      <w:r>
        <w:rPr>
          <w:b/>
          <w:bCs/>
          <w:u w:val="double"/>
        </w:rPr>
        <w:t>1999</w:t>
      </w:r>
      <w:r>
        <w:rPr/>
        <w:t xml:space="preserve">, the quarterly unaudited financial statements through the third quarter of </w:t>
      </w:r>
      <w:r>
        <w:rPr>
          <w:strike/>
        </w:rPr>
        <w:t>1999</w:t>
      </w:r>
      <w:r>
        <w:rPr/>
        <w:t xml:space="preserve"> </w:t>
      </w:r>
      <w:r>
        <w:rPr>
          <w:b/>
          <w:bCs/>
          <w:u w:val="double"/>
        </w:rPr>
        <w:t>2000</w:t>
      </w:r>
      <w:r>
        <w:rPr/>
        <w:t xml:space="preserve"> and the related audited consolidated statements of income, cash flows and changes in stockholders' equity accounts for the fiscal year then ended, copies of which have been delivered to </w:t>
      </w:r>
      <w:r>
        <w:rPr>
          <w:strike/>
        </w:rPr>
        <w:t>Agent</w:t>
      </w:r>
      <w:r>
        <w:rPr/>
        <w:t xml:space="preserve"> </w:t>
      </w:r>
      <w:r>
        <w:rPr>
          <w:b/>
          <w:bCs/>
          <w:u w:val="double"/>
        </w:rPr>
        <w:t>Seller</w:t>
      </w:r>
      <w:r>
        <w:rPr/>
        <w:t xml:space="preserve">,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p>
    <w:p>
      <w:pPr>
        <w:pStyle w:val="Pleading1L1"/>
        <w:keepNext w:val="true"/>
        <w:widowControl/>
        <w:rPr>
          <w:vanish/>
          <w:color w:val="FF0000"/>
        </w:rPr>
      </w:pPr>
      <w:r>
        <w:rPr>
          <w:color w:val="FF0000"/>
          <w:u w:val="none"/>
        </w:rPr>
        <w:t>Section 5.</w:t>
        <w:tab/>
      </w:r>
      <w:r>
        <w:rPr/>
        <w:t>Affirmative Covenants</w:t>
      </w:r>
    </w:p>
    <w:p>
      <w:pPr>
        <w:pStyle w:val="Normal"/>
        <w:keepNext w:val="true"/>
        <w:widowControl/>
        <w:rPr/>
      </w:pPr>
      <w:r>
        <w:rPr/>
        <w:t xml:space="preserve">.  The Guarantor covenants and agrees that until this </w:t>
      </w:r>
      <w:r>
        <w:rPr>
          <w:strike/>
        </w:rPr>
        <w:t>Enron</w:t>
      </w:r>
      <w:r>
        <w:rPr/>
        <w:t xml:space="preserve"> Guaranty has been terminated in accordance with </w:t>
      </w:r>
      <w:r>
        <w:rPr>
          <w:u w:val="single"/>
        </w:rPr>
        <w:t>Section 8</w:t>
      </w:r>
      <w:r>
        <w:rPr/>
        <w:t xml:space="preserve"> hereof:</w:t>
      </w:r>
    </w:p>
    <w:p>
      <w:pPr>
        <w:pStyle w:val="Pleading1L2"/>
        <w:widowControl/>
        <w:rPr/>
      </w:pPr>
      <w:r>
        <w:rPr/>
        <w:t>(a)    </w:t>
        <w:tab/>
      </w:r>
      <w:r>
        <w:rPr>
          <w:u w:val="single"/>
        </w:rPr>
        <w:t>Existence</w:t>
      </w:r>
      <w:r>
        <w:rPr/>
        <w:t xml:space="preserve">.  The Guarantor will preserve and maintain its corporate existence; </w:t>
      </w:r>
      <w:r>
        <w:rPr>
          <w:u w:val="single"/>
        </w:rPr>
        <w:t>provided</w:t>
      </w:r>
      <w:r>
        <w:rPr/>
        <w:t xml:space="preserve">, </w:t>
      </w:r>
      <w:r>
        <w:rPr>
          <w:u w:val="single"/>
        </w:rPr>
        <w:t>however</w:t>
      </w:r>
      <w:r>
        <w:rPr>
          <w:b/>
          <w:bCs/>
          <w:u w:val="double"/>
        </w:rPr>
        <w:t>,</w:t>
      </w:r>
      <w:r>
        <w:rPr/>
        <w:t xml:space="preserve"> that the Guarantor may merge or consolidate with or into any </w:t>
      </w:r>
      <w:r>
        <w:rPr>
          <w:strike/>
        </w:rPr>
        <w:t>Person</w:t>
      </w:r>
      <w:r>
        <w:rPr/>
        <w:t xml:space="preserve"> </w:t>
      </w:r>
      <w:r>
        <w:rPr>
          <w:b/>
          <w:bCs/>
          <w:u w:val="double"/>
        </w:rPr>
        <w:t>entity</w:t>
      </w:r>
      <w:r>
        <w:rPr/>
        <w:t xml:space="preserve"> if (i) the Guarantor is the survivor, or (ii) the surviving </w:t>
      </w:r>
      <w:r>
        <w:rPr>
          <w:strike/>
        </w:rPr>
        <w:t>Person</w:t>
      </w:r>
      <w:r>
        <w:rPr/>
        <w:t xml:space="preserve"> </w:t>
      </w:r>
      <w:r>
        <w:rPr>
          <w:b/>
          <w:bCs/>
          <w:u w:val="double"/>
        </w:rPr>
        <w:t>entity</w:t>
      </w:r>
      <w:r>
        <w:rPr/>
        <w:t xml:space="preserve">, if not the Guarantor (x) is organized under the laws of the United States or a state thereof and (y) assumes all obligations of the Guarantor under this </w:t>
      </w:r>
      <w:r>
        <w:rPr>
          <w:strike/>
        </w:rPr>
        <w:t>Enron</w:t>
      </w:r>
      <w:r>
        <w:rPr/>
        <w:t xml:space="preserve"> Guaranty. </w:t>
      </w:r>
    </w:p>
    <w:p>
      <w:pPr>
        <w:pStyle w:val="Pleading1L2"/>
        <w:widowControl/>
        <w:rPr/>
      </w:pPr>
      <w:r>
        <w:rPr/>
        <w:t>(b)    </w:t>
        <w:tab/>
      </w:r>
      <w:r>
        <w:rPr>
          <w:u w:val="single"/>
        </w:rPr>
        <w:t>Rights, Franchises</w:t>
      </w:r>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r>
        <w:rPr>
          <w:u w:val="single"/>
        </w:rPr>
        <w:t>provided</w:t>
      </w:r>
      <w:r>
        <w:rPr/>
        <w:t xml:space="preserve">, </w:t>
      </w:r>
      <w:r>
        <w:rPr>
          <w:u w:val="single"/>
        </w:rPr>
        <w:t>however</w:t>
      </w:r>
      <w:r>
        <w:rPr/>
        <w:t xml:space="preserve"> that this </w:t>
      </w:r>
      <w:r>
        <w:rPr>
          <w:u w:val="single"/>
        </w:rPr>
        <w:t>Section 5(b)</w:t>
      </w:r>
      <w:r>
        <w:rPr/>
        <w:t xml:space="preserve"> shall not apply to any transactions permitted by </w:t>
      </w:r>
      <w:r>
        <w:rPr>
          <w:u w:val="single"/>
        </w:rPr>
        <w:t>Section 5(a)</w:t>
      </w:r>
      <w:r>
        <w:rPr/>
        <w:t xml:space="preserve"> hereof. </w:t>
      </w:r>
    </w:p>
    <w:p>
      <w:pPr>
        <w:pStyle w:val="Pleading1L2"/>
        <w:widowControl/>
        <w:rPr/>
      </w:pPr>
      <w:r>
        <w:rPr/>
        <w:t>(c)    </w:t>
        <w:tab/>
      </w:r>
      <w:r>
        <w:rPr>
          <w:u w:val="single"/>
        </w:rPr>
        <w:t>Compliance With Governmental Requirements</w:t>
      </w:r>
      <w:r>
        <w:rPr/>
        <w:t xml:space="preserve">.  The Guarantor will comply with all </w:t>
      </w:r>
      <w:r>
        <w:rPr>
          <w:strike/>
        </w:rPr>
        <w:t>Governmental Requirements</w:t>
      </w:r>
      <w:r>
        <w:rPr/>
        <w:t xml:space="preserve"> </w:t>
      </w:r>
      <w:r>
        <w:rPr>
          <w:b/>
          <w:bCs/>
          <w:u w:val="double"/>
        </w:rPr>
        <w:t>governmental requirements</w:t>
      </w:r>
      <w:r>
        <w:rPr/>
        <w:t xml:space="preserve">, except where the failure to comply could not reasonably be expected to have a material adverse effect on the ability of the Guarantor to perform its obligations hereunder. </w:t>
      </w:r>
    </w:p>
    <w:p>
      <w:pPr>
        <w:pStyle w:val="Pleading1L1"/>
        <w:keepNext w:val="true"/>
        <w:widowControl/>
        <w:rPr>
          <w:vanish/>
          <w:color w:val="FF0000"/>
        </w:rPr>
      </w:pPr>
      <w:r>
        <w:rPr>
          <w:color w:val="FF0000"/>
          <w:u w:val="none"/>
        </w:rPr>
        <w:t>Section 6.</w:t>
        <w:tab/>
      </w:r>
      <w:r>
        <w:rPr/>
        <w:t>Address for Notices</w:t>
      </w:r>
    </w:p>
    <w:p>
      <w:pPr>
        <w:pStyle w:val="Normal"/>
        <w:keepNext w:val="true"/>
        <w:widowControl/>
        <w:rPr/>
      </w:pPr>
      <w:r>
        <w:rPr/>
        <w:t xml:space="preserve">.  </w:t>
      </w:r>
    </w:p>
    <w:p>
      <w:pPr>
        <w:pStyle w:val="Pleading1L2"/>
        <w:widowControl/>
        <w:rPr/>
      </w:pPr>
      <w:r>
        <w:rPr/>
        <w:t>(a)    </w:t>
        <w:tab/>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p>
    <w:p>
      <w:pPr>
        <w:pStyle w:val="Pleading1L2"/>
        <w:widowControl/>
        <w:rPr/>
      </w:pPr>
      <w:r>
        <w:rPr/>
        <w:t>(b)    </w:t>
        <w:tab/>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r>
        <w:rPr>
          <w:u w:val="single"/>
        </w:rPr>
        <w:t>provided</w:t>
      </w:r>
      <w:r>
        <w:rPr/>
        <w:t xml:space="preserve">, </w:t>
      </w:r>
      <w:r>
        <w:rPr>
          <w:u w:val="single"/>
        </w:rPr>
        <w:t>however</w:t>
      </w:r>
      <w:r>
        <w:rPr/>
        <w:t xml:space="preserve">, that no notice or communication to </w:t>
      </w:r>
      <w:r>
        <w:rPr>
          <w:strike/>
        </w:rPr>
        <w:t>Agent</w:t>
      </w:r>
      <w:r>
        <w:rPr/>
        <w:t xml:space="preserve"> </w:t>
      </w:r>
      <w:r>
        <w:rPr>
          <w:b/>
          <w:bCs/>
          <w:u w:val="double"/>
        </w:rPr>
        <w:t>Seller</w:t>
      </w:r>
      <w:r>
        <w:rPr/>
        <w:t xml:space="preserve"> shall be effective until received by </w:t>
      </w:r>
      <w:r>
        <w:rPr>
          <w:strike/>
        </w:rPr>
        <w:t>Agent</w:t>
      </w:r>
      <w:r>
        <w:rPr/>
        <w:t xml:space="preserve"> </w:t>
      </w:r>
      <w:r>
        <w:rPr>
          <w:b/>
          <w:bCs/>
          <w:u w:val="double"/>
        </w:rPr>
        <w:t>Seller</w:t>
      </w:r>
      <w:r>
        <w:rPr/>
        <w:t xml:space="preserve">. </w:t>
      </w:r>
    </w:p>
    <w:p>
      <w:pPr>
        <w:pStyle w:val="Pleading1L2"/>
        <w:widowControl/>
        <w:rPr/>
      </w:pPr>
      <w:r>
        <w:rPr/>
        <w:t>(c)    </w:t>
        <w:tab/>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r>
        <w:rPr>
          <w:u w:val="single"/>
        </w:rPr>
        <w:t>Section 6(b)</w:t>
      </w:r>
      <w:r>
        <w:rPr/>
        <w:t xml:space="preserve"> hereof without regard to the dispatch of such original.</w:t>
      </w:r>
    </w:p>
    <w:p>
      <w:pPr>
        <w:pStyle w:val="NoticeAddressHanging"/>
        <w:keepLines/>
        <w:widowControl/>
        <w:rPr/>
      </w:pPr>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p>
    <w:p>
      <w:pPr>
        <w:pStyle w:val="NoticeAddressHanging"/>
        <w:keepLines/>
        <w:widowControl/>
        <w:rPr/>
      </w:pPr>
      <w:r>
        <w:rPr>
          <w:b/>
          <w:bCs/>
          <w:u w:val="double"/>
        </w:rPr>
        <w:t>Seller:</w:t>
      </w:r>
      <w:r>
        <w:rPr/>
        <w:tab/>
      </w:r>
      <w:r>
        <w:rPr>
          <w:b/>
          <w:bCs/>
          <w:u w:val="double"/>
        </w:rPr>
        <w:t>Indian Mesa Power Partners II L.P.</w:t>
      </w:r>
      <w:r>
        <w:rPr/>
        <w:br/>
      </w:r>
      <w:r>
        <w:rPr>
          <w:b/>
          <w:bCs/>
          <w:u w:val="double"/>
        </w:rPr>
        <w:t xml:space="preserve">13000 Jameson Road  </w:t>
      </w:r>
      <w:r>
        <w:rPr/>
        <w:br/>
      </w:r>
      <w:r>
        <w:rPr>
          <w:b/>
          <w:bCs/>
          <w:u w:val="double"/>
        </w:rPr>
        <w:t>Tehachapi, California 93561</w:t>
      </w:r>
      <w:r>
        <w:rPr/>
        <w:br/>
      </w:r>
      <w:r>
        <w:rPr>
          <w:b/>
          <w:bCs/>
          <w:u w:val="double"/>
        </w:rPr>
        <w:t>Attention:</w:t>
      </w:r>
      <w:r>
        <w:rPr/>
        <w:tab/>
      </w:r>
      <w:r>
        <w:rPr>
          <w:b/>
          <w:bCs/>
          <w:u w:val="double"/>
        </w:rPr>
        <w:t>Dir. of Asset Management</w:t>
      </w:r>
      <w:r>
        <w:rPr/>
        <w:br/>
      </w:r>
      <w:r>
        <w:rPr>
          <w:b/>
          <w:bCs/>
          <w:u w:val="double"/>
        </w:rPr>
        <w:t>Telephone:</w:t>
      </w:r>
      <w:r>
        <w:rPr/>
        <w:tab/>
      </w:r>
      <w:r>
        <w:rPr>
          <w:b/>
          <w:bCs/>
          <w:u w:val="double"/>
        </w:rPr>
        <w:t>(661) 823-6425</w:t>
      </w:r>
      <w:r>
        <w:rPr/>
        <w:br/>
      </w:r>
      <w:r>
        <w:rPr>
          <w:b/>
          <w:bCs/>
          <w:u w:val="double"/>
        </w:rPr>
        <w:t>Telecopier:</w:t>
      </w:r>
      <w:r>
        <w:rPr/>
        <w:tab/>
      </w:r>
      <w:r>
        <w:rPr>
          <w:b/>
          <w:bCs/>
          <w:u w:val="double"/>
        </w:rPr>
        <w:t>(661) 823-5015</w:t>
      </w:r>
    </w:p>
    <w:p>
      <w:pPr>
        <w:pStyle w:val="NoticeAddressHanging"/>
        <w:keepLines/>
        <w:widowControl/>
        <w:rPr/>
      </w:pPr>
      <w:r>
        <w:rPr>
          <w:b/>
          <w:bCs/>
          <w:u w:val="double"/>
        </w:rPr>
        <w:t>With</w:t>
      </w:r>
      <w:r>
        <w:rPr/>
        <w:t xml:space="preserve"> </w:t>
      </w:r>
      <w:r>
        <w:rPr>
          <w:strike/>
        </w:rPr>
        <w:t>with</w:t>
      </w:r>
      <w:r>
        <w:rPr/>
        <w:t xml:space="preserve"> a copy to:</w:t>
        <w:tab/>
        <w:t>Enron Wind Corp.</w:t>
        <w:br/>
        <w:t>444 South Flower Street</w:t>
        <w:br/>
        <w:t xml:space="preserve">Suite </w:t>
      </w:r>
      <w:r>
        <w:rPr>
          <w:strike/>
        </w:rPr>
        <w:t>4545Los</w:t>
      </w:r>
      <w:r>
        <w:rPr/>
        <w:t xml:space="preserve"> </w:t>
      </w:r>
      <w:r>
        <w:rPr>
          <w:b/>
          <w:bCs/>
          <w:u w:val="double"/>
        </w:rPr>
        <w:t xml:space="preserve">4545 </w:t>
      </w:r>
      <w:r>
        <w:rPr/>
        <w:br/>
      </w:r>
      <w:r>
        <w:rPr>
          <w:b/>
          <w:bCs/>
          <w:u w:val="double"/>
        </w:rPr>
        <w:t>Los</w:t>
      </w:r>
      <w:r>
        <w:rPr/>
        <w:t xml:space="preserve"> Angeles, California </w:t>
      </w:r>
      <w:r>
        <w:rPr>
          <w:strike/>
        </w:rPr>
        <w:t>90071Attention</w:t>
      </w:r>
      <w:r>
        <w:rPr/>
        <w:t xml:space="preserve"> </w:t>
      </w:r>
      <w:r>
        <w:rPr>
          <w:b/>
          <w:bCs/>
          <w:u w:val="double"/>
        </w:rPr>
        <w:t xml:space="preserve">90071 </w:t>
      </w:r>
      <w:r>
        <w:rPr/>
        <w:br/>
      </w:r>
      <w:r>
        <w:rPr>
          <w:b/>
          <w:bCs/>
          <w:u w:val="double"/>
        </w:rPr>
        <w:t>Attention</w:t>
      </w:r>
      <w:r>
        <w:rPr/>
        <w:t>:</w:t>
        <w:tab/>
        <w:t>General Counsel</w:t>
        <w:br/>
        <w:t>Telephone:</w:t>
        <w:tab/>
        <w:t>(213) 452-4881</w:t>
        <w:br/>
        <w:t>Telecopier:</w:t>
        <w:tab/>
        <w:t>(213) 452-4888</w:t>
      </w:r>
    </w:p>
    <w:p>
      <w:pPr>
        <w:pStyle w:val="Pleading1L1"/>
        <w:widowControl/>
        <w:rPr>
          <w:strike/>
          <w:color w:val="FF0000"/>
          <w:u w:val="none"/>
        </w:rPr>
      </w:pPr>
      <w:r>
        <w:rPr>
          <w:strike/>
          <w:color w:val="FF0000"/>
          <w:u w:val="none"/>
        </w:rPr>
        <w:t xml:space="preserve">Senior Agent and Junior Agent: MeesPierson N.V., London BranchCamomile Court 23 Camomile Street London EC3A 7PP United Kingdom Telephone: 017-1444-8700Telecopier: 017-1444-8810 </w:t>
      </w:r>
    </w:p>
    <w:p>
      <w:pPr>
        <w:pStyle w:val="Pleading1L1"/>
        <w:widowControl/>
        <w:rPr>
          <w:strike/>
          <w:color w:val="FF0000"/>
          <w:u w:val="none"/>
        </w:rPr>
      </w:pPr>
      <w:r>
        <w:rPr>
          <w:strike/>
          <w:color w:val="FF0000"/>
          <w:u w:val="none"/>
        </w:rPr>
      </w:r>
    </w:p>
    <w:p>
      <w:pPr>
        <w:pStyle w:val="Pleading1L1"/>
        <w:widowControl/>
        <w:rPr>
          <w:strike/>
          <w:color w:val="FF0000"/>
          <w:u w:val="none"/>
        </w:rPr>
      </w:pPr>
      <w:r>
        <w:rPr>
          <w:strike/>
          <w:color w:val="FF0000"/>
          <w:u w:val="none"/>
        </w:rPr>
        <w:t>With a copy to: MeesPierson N.V.Coolsingel 933012 AE RotterdamThe NetherlandsAttention: J. LoblerTelephone: 31-10401-5234Telecopier: 31-10401-5161</w:t>
      </w:r>
    </w:p>
    <w:p>
      <w:pPr>
        <w:pStyle w:val="Pleading1L1"/>
        <w:widowControl/>
        <w:rPr>
          <w:strike/>
          <w:color w:val="FF0000"/>
          <w:u w:val="none"/>
        </w:rPr>
      </w:pPr>
      <w:r>
        <w:rPr>
          <w:strike/>
          <w:color w:val="FF0000"/>
          <w:u w:val="none"/>
        </w:rPr>
      </w:r>
    </w:p>
    <w:p>
      <w:pPr>
        <w:pStyle w:val="Pleading1L1"/>
        <w:widowControl/>
        <w:rPr>
          <w:vanish/>
          <w:color w:val="FF0000"/>
        </w:rPr>
      </w:pPr>
      <w:r>
        <w:rPr>
          <w:color w:val="FF0000"/>
          <w:u w:val="none"/>
        </w:rPr>
        <w:t>Section 7.</w:t>
        <w:tab/>
      </w:r>
      <w:r>
        <w:rPr/>
        <w:t>No Waiver; Remedies</w:t>
      </w:r>
    </w:p>
    <w:p>
      <w:pPr>
        <w:pStyle w:val="Normal"/>
        <w:widowControl/>
        <w:rPr/>
      </w:pPr>
      <w:r>
        <w:rPr/>
        <w:t xml:space="preserve">.  No failure on the part of </w:t>
      </w:r>
      <w:r>
        <w:rPr>
          <w:strike/>
        </w:rPr>
        <w:t>Agent</w:t>
      </w:r>
      <w:r>
        <w:rPr/>
        <w:t xml:space="preserve"> </w:t>
      </w:r>
      <w:r>
        <w:rPr>
          <w:b/>
          <w:bCs/>
          <w:u w:val="double"/>
        </w:rPr>
        <w:t>Seller</w:t>
      </w:r>
      <w:r>
        <w:rPr/>
        <w:t xml:space="preserv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p>
    <w:p>
      <w:pPr>
        <w:pStyle w:val="Pleading1L1"/>
        <w:widowControl/>
        <w:rPr>
          <w:vanish/>
          <w:color w:val="FF0000"/>
        </w:rPr>
      </w:pPr>
      <w:r>
        <w:rPr>
          <w:color w:val="FF0000"/>
          <w:u w:val="none"/>
        </w:rPr>
        <w:t>Section 8.</w:t>
        <w:tab/>
      </w:r>
      <w:r>
        <w:rPr/>
        <w:t xml:space="preserve">Continuing </w:t>
      </w:r>
      <w:r>
        <w:rPr>
          <w:strike/>
        </w:rPr>
        <w:t>Enron</w:t>
      </w:r>
      <w:r>
        <w:rPr/>
        <w:t xml:space="preserve"> Guaranty</w:t>
      </w:r>
    </w:p>
    <w:p>
      <w:pPr>
        <w:pStyle w:val="Normal"/>
        <w:widowControl/>
        <w:rPr/>
      </w:pPr>
      <w:r>
        <w:rPr/>
        <w:t xml:space="preserve">.  This </w:t>
      </w:r>
      <w:r>
        <w:rPr>
          <w:strike/>
        </w:rPr>
        <w:t>Enron</w:t>
      </w:r>
      <w:r>
        <w:rPr/>
        <w:t xml:space="preserve"> Guaranty is a continuing guaranty and </w:t>
      </w:r>
      <w:r>
        <w:rPr>
          <w:b/>
          <w:bCs/>
          <w:u w:val="double"/>
        </w:rPr>
        <w:t>obligation and</w:t>
      </w:r>
      <w:r>
        <w:rPr/>
        <w:t xml:space="preserve"> shall remain in full force and effect until </w:t>
      </w:r>
      <w:r>
        <w:rPr>
          <w:strike/>
        </w:rPr>
        <w:t>all Guaranteed Obligations have been paid</w:t>
      </w:r>
      <w:r>
        <w:rPr/>
        <w:t xml:space="preserve"> </w:t>
      </w:r>
      <w:r>
        <w:rPr>
          <w:b/>
          <w:bCs/>
          <w:u w:val="double"/>
        </w:rPr>
        <w:t>the earlier to occur of (a) the satisfaction</w:t>
      </w:r>
      <w:r>
        <w:rPr/>
        <w:t xml:space="preserve"> in full </w:t>
      </w:r>
      <w:r>
        <w:rPr>
          <w:b/>
          <w:bCs/>
          <w:u w:val="double"/>
        </w:rPr>
        <w:t>of all obligations under this Guaranty (other than any obligations arising under Section 5</w:t>
      </w:r>
      <w:r>
        <w:rPr/>
        <w:t xml:space="preserve"> </w:t>
      </w:r>
      <w:r>
        <w:rPr>
          <w:b/>
          <w:bCs/>
          <w:u w:val="double"/>
        </w:rPr>
        <w:t>hereof after satisfaction in full of all other such obligations) and (b) the satisfaction in full of the obligations of Purchaser under the Agreement</w:t>
      </w:r>
      <w:r>
        <w:rPr/>
        <w:t xml:space="preserve">, at which time this </w:t>
      </w:r>
      <w:r>
        <w:rPr>
          <w:strike/>
        </w:rPr>
        <w:t>Enron</w:t>
      </w:r>
      <w:r>
        <w:rPr/>
        <w:t xml:space="preserve"> Guaranty shall terminate. </w:t>
      </w:r>
    </w:p>
    <w:p>
      <w:pPr>
        <w:pStyle w:val="Pleading1L1"/>
        <w:widowControl/>
        <w:rPr>
          <w:vanish/>
          <w:color w:val="FF0000"/>
        </w:rPr>
      </w:pPr>
      <w:r>
        <w:rPr>
          <w:color w:val="FF0000"/>
          <w:u w:val="none"/>
        </w:rPr>
        <w:t>Section 9.</w:t>
        <w:tab/>
      </w:r>
      <w:r>
        <w:rPr/>
        <w:t>Subrogation</w:t>
      </w:r>
    </w:p>
    <w:p>
      <w:pPr>
        <w:pStyle w:val="Normal"/>
        <w:widowControl/>
        <w:rPr/>
      </w:pPr>
      <w:r>
        <w:rPr/>
        <w:t xml:space="preserve">.  Until all Guaranteed Obligations have been </w:t>
      </w:r>
      <w:r>
        <w:rPr>
          <w:strike/>
        </w:rPr>
        <w:t>paid</w:t>
      </w:r>
      <w:r>
        <w:rPr/>
        <w:t xml:space="preserve"> </w:t>
      </w:r>
      <w:r>
        <w:rPr>
          <w:b/>
          <w:bCs/>
          <w:u w:val="double"/>
        </w:rPr>
        <w:t>satisfied</w:t>
      </w:r>
      <w:r>
        <w:rPr/>
        <w:t xml:space="preserve"> in full, the Guarantor shall not exercise, and hereby irrevocably waives until such date, to the fullest extent permitted by applicable </w:t>
      </w:r>
      <w:r>
        <w:rPr>
          <w:strike/>
        </w:rPr>
        <w:t>Governmental Requirements</w:t>
      </w:r>
      <w:r>
        <w:rPr/>
        <w:t xml:space="preserve"> </w:t>
      </w:r>
      <w:r>
        <w:rPr>
          <w:b/>
          <w:bCs/>
          <w:u w:val="double"/>
        </w:rPr>
        <w:t>governmental requirements</w:t>
      </w:r>
      <w:r>
        <w:rPr/>
        <w:t xml:space="preserve">, any claim, right or remedy that it may now have or may hereafter acquire against </w:t>
      </w:r>
      <w:r>
        <w:rPr>
          <w:strike/>
        </w:rPr>
        <w:t>the Contractor</w:t>
      </w:r>
      <w:r>
        <w:rPr/>
        <w:t xml:space="preserve"> </w:t>
      </w:r>
      <w:r>
        <w:rPr>
          <w:b/>
          <w:bCs/>
          <w:u w:val="double"/>
        </w:rPr>
        <w:t>Purchaser</w:t>
      </w:r>
      <w:r>
        <w:rPr/>
        <w:t xml:space="preserve"> arising under or in connection with this </w:t>
      </w:r>
      <w:r>
        <w:rPr>
          <w:strike/>
        </w:rPr>
        <w:t>Enron</w:t>
      </w:r>
      <w:r>
        <w:rPr/>
        <w:t xml:space="preserve"> Guaranty, including, without limitation, any claim, right or remedy of subrogation, contribution, reimbursement, exoneration, indemnification or participation arising under contract by </w:t>
      </w:r>
      <w:r>
        <w:rPr>
          <w:strike/>
        </w:rPr>
        <w:t>Governmental Requirement</w:t>
      </w:r>
      <w:r>
        <w:rPr/>
        <w:t xml:space="preserve"> </w:t>
      </w:r>
      <w:r>
        <w:rPr>
          <w:b/>
          <w:bCs/>
          <w:u w:val="double"/>
        </w:rPr>
        <w:t>governmental requirement</w:t>
      </w:r>
      <w:r>
        <w:rPr/>
        <w:t xml:space="preserve"> or otherwise in any claim, right or remedy that </w:t>
      </w:r>
      <w:r>
        <w:rPr>
          <w:strike/>
        </w:rPr>
        <w:t>Agent</w:t>
      </w:r>
      <w:r>
        <w:rPr/>
        <w:t xml:space="preserve"> </w:t>
      </w:r>
      <w:r>
        <w:rPr>
          <w:b/>
          <w:bCs/>
          <w:u w:val="double"/>
        </w:rPr>
        <w:t>Seller</w:t>
      </w:r>
      <w:r>
        <w:rPr/>
        <w:t xml:space="preserve"> may now have or may hereafter acquire.  </w:t>
      </w:r>
    </w:p>
    <w:p>
      <w:pPr>
        <w:pStyle w:val="Pleading1L1"/>
        <w:widowControl/>
        <w:rPr>
          <w:vanish/>
          <w:color w:val="FF0000"/>
        </w:rPr>
      </w:pPr>
      <w:r>
        <w:rPr>
          <w:color w:val="FF0000"/>
          <w:u w:val="none"/>
        </w:rPr>
        <w:t>Section 10.</w:t>
        <w:tab/>
      </w:r>
      <w:r>
        <w:rPr/>
        <w:t xml:space="preserve"> Payment</w:t>
      </w:r>
    </w:p>
    <w:p>
      <w:pPr>
        <w:pStyle w:val="Normal"/>
        <w:widowControl/>
        <w:rPr/>
      </w:pPr>
      <w:r>
        <w:rPr/>
        <w:t xml:space="preserve">.  The Guarantor agrees that whenever the Guarantor shall make any payment hereunder on account of the liability hereunder, the Guarantor </w:t>
      </w:r>
      <w:r>
        <w:rPr>
          <w:strike/>
        </w:rPr>
        <w:t>will</w:t>
      </w:r>
      <w:r>
        <w:rPr/>
        <w:t xml:space="preserve"> </w:t>
      </w:r>
      <w:r>
        <w:rPr>
          <w:b/>
          <w:bCs/>
          <w:u w:val="double"/>
        </w:rPr>
        <w:t>shall</w:t>
      </w:r>
      <w:r>
        <w:rPr/>
        <w:t xml:space="preserve"> deliver such payment to </w:t>
      </w:r>
      <w:r>
        <w:rPr>
          <w:strike/>
        </w:rPr>
        <w:t>Agent for deposit into the appropriate account</w:t>
      </w:r>
      <w:r>
        <w:rPr/>
        <w:t xml:space="preserve"> </w:t>
      </w:r>
      <w:r>
        <w:rPr>
          <w:b/>
          <w:bCs/>
          <w:u w:val="double"/>
        </w:rPr>
        <w:t>Seller</w:t>
      </w:r>
      <w:r>
        <w:rPr/>
        <w:t xml:space="preserve">. </w:t>
      </w:r>
    </w:p>
    <w:p>
      <w:pPr>
        <w:pStyle w:val="Pleading1L1"/>
        <w:widowControl/>
        <w:rPr>
          <w:vanish/>
          <w:color w:val="FF0000"/>
        </w:rPr>
      </w:pPr>
      <w:r>
        <w:rPr>
          <w:color w:val="FF0000"/>
          <w:u w:val="none"/>
        </w:rPr>
        <w:t>Section 11.</w:t>
        <w:tab/>
      </w:r>
      <w:r>
        <w:rPr/>
        <w:t xml:space="preserve"> Amendments, Successors; Etc.</w:t>
      </w:r>
    </w:p>
    <w:p>
      <w:pPr>
        <w:pStyle w:val="Normal"/>
        <w:widowControl/>
        <w:rPr/>
      </w:pPr>
      <w:r>
        <w:rPr/>
        <w:t xml:space="preserve">  </w:t>
      </w:r>
      <w:r>
        <w:rPr/>
        <w:t xml:space="preserve">Neither this </w:t>
      </w:r>
      <w:r>
        <w:rPr>
          <w:strike/>
        </w:rPr>
        <w:t>Enron</w:t>
      </w:r>
      <w:r>
        <w:rPr/>
        <w:t xml:space="preserve"> Guaranty nor any term hereof may be changed, waived, discharged or terminated orally, but only by an instrument in writing signed by </w:t>
      </w:r>
      <w:r>
        <w:rPr>
          <w:strike/>
        </w:rPr>
        <w:t>Agent</w:t>
      </w:r>
      <w:r>
        <w:rPr/>
        <w:t xml:space="preserve"> </w:t>
      </w:r>
      <w:r>
        <w:rPr>
          <w:b/>
          <w:bCs/>
          <w:u w:val="double"/>
        </w:rPr>
        <w:t>Seller</w:t>
      </w:r>
      <w:r>
        <w:rPr/>
        <w:t xml:space="preserve"> and the Guarantor.  All of the terms of this instrument shall be binding upon and inure to the benefit of the parties hereto and their respective successors and assigns.  No delay or failure by </w:t>
      </w:r>
      <w:r>
        <w:rPr>
          <w:strike/>
        </w:rPr>
        <w:t>Agent</w:t>
      </w:r>
      <w:r>
        <w:rPr/>
        <w:t xml:space="preserve"> </w:t>
      </w:r>
      <w:r>
        <w:rPr>
          <w:b/>
          <w:bCs/>
          <w:u w:val="double"/>
        </w:rPr>
        <w:t>Seller</w:t>
      </w:r>
      <w:r>
        <w:rPr/>
        <w:t xml:space="preserve"> to exercise any remedy against the Guarantor will be construed as a waiver of that right or remedy.  In the event that the provisions of this </w:t>
      </w:r>
      <w:r>
        <w:rPr>
          <w:strike/>
        </w:rPr>
        <w:t>Enron</w:t>
      </w:r>
      <w:r>
        <w:rPr/>
        <w:t xml:space="preserve"> Guaranty are claimed or held to be inconsistent with any other instrument evidencing or securing the </w:t>
      </w:r>
      <w:r>
        <w:rPr>
          <w:strike/>
        </w:rPr>
        <w:t>Guaranteed Obligations</w:t>
      </w:r>
      <w:r>
        <w:rPr/>
        <w:t xml:space="preserve"> </w:t>
      </w:r>
      <w:r>
        <w:rPr>
          <w:b/>
          <w:bCs/>
          <w:u w:val="double"/>
        </w:rPr>
        <w:t>obligations under this Guaranty</w:t>
      </w:r>
      <w:r>
        <w:rPr/>
        <w:t xml:space="preserve">, the terms of this </w:t>
      </w:r>
      <w:r>
        <w:rPr>
          <w:strike/>
        </w:rPr>
        <w:t>Enron</w:t>
      </w:r>
      <w:r>
        <w:rPr/>
        <w:t xml:space="preserve"> Guaranty shall remain fully valid and effective.  If any one or more of the provisions of this </w:t>
      </w:r>
      <w:r>
        <w:rPr>
          <w:strike/>
        </w:rPr>
        <w:t>Enron</w:t>
      </w:r>
      <w:r>
        <w:rPr/>
        <w:t xml:space="preserve"> Guaranty should be determined to be illegal or unenforceable, all other provisions shall remain effective and the Guarantor shall replace the illegal or unenforceable provision, to the extent possible, such that the original intent is achieved.</w:t>
      </w:r>
    </w:p>
    <w:p>
      <w:pPr>
        <w:pStyle w:val="Pleading1L1"/>
        <w:widowControl/>
        <w:rPr/>
      </w:pPr>
      <w:r>
        <w:rPr>
          <w:color w:val="FF0000"/>
          <w:u w:val="none"/>
        </w:rPr>
        <w:t>Section 12</w:t>
      </w:r>
      <w:r>
        <w:rPr>
          <w:strike/>
          <w:color w:val="FF0000"/>
          <w:u w:val="none"/>
        </w:rPr>
        <w:t>. Definitions</w:t>
      </w:r>
    </w:p>
    <w:p>
      <w:pPr>
        <w:pStyle w:val="Pleading1L1"/>
        <w:widowControl/>
        <w:rPr>
          <w:strike/>
          <w:color w:val="FF0000"/>
          <w:u w:val="none"/>
        </w:rPr>
      </w:pPr>
      <w:r>
        <w:rPr>
          <w:strike/>
          <w:color w:val="FF0000"/>
          <w:u w:val="none"/>
        </w:rPr>
        <w:t>. Except as otherwise provided herein, for the purposes of this Enron Guaranty, capitalized terms not otherwise defined herein shall have the meanings assigned thereto in the EPC Contract.</w:t>
      </w:r>
    </w:p>
    <w:p>
      <w:pPr>
        <w:pStyle w:val="Pleading1L1"/>
        <w:widowControl/>
        <w:rPr>
          <w:vanish/>
          <w:color w:val="FF0000"/>
        </w:rPr>
      </w:pPr>
      <w:r>
        <w:rPr>
          <w:strike/>
          <w:color w:val="FF0000"/>
          <w:u w:val="none"/>
        </w:rPr>
        <w:t>Section 13</w:t>
      </w:r>
      <w:r>
        <w:rPr>
          <w:color w:val="FF0000"/>
          <w:u w:val="none"/>
        </w:rPr>
        <w:t>.</w:t>
        <w:tab/>
      </w:r>
      <w:r>
        <w:rPr/>
        <w:t>GOVERNING LAW</w:t>
      </w:r>
    </w:p>
    <w:p>
      <w:pPr>
        <w:pStyle w:val="BodyText"/>
        <w:widowControl/>
        <w:rPr/>
      </w:pPr>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p>
    <w:p>
      <w:pPr>
        <w:pStyle w:val="Pleading1L1"/>
        <w:widowControl/>
        <w:rPr>
          <w:vanish/>
          <w:color w:val="FF0000"/>
        </w:rPr>
      </w:pPr>
      <w:r>
        <w:rPr>
          <w:color w:val="FF0000"/>
          <w:u w:val="none"/>
        </w:rPr>
        <w:t xml:space="preserve">Section </w:t>
      </w:r>
      <w:r>
        <w:rPr>
          <w:strike/>
          <w:color w:val="FF0000"/>
          <w:u w:val="none"/>
        </w:rPr>
        <w:t>14</w:t>
      </w:r>
      <w:r>
        <w:rPr>
          <w:color w:val="FF0000"/>
          <w:u w:val="none"/>
        </w:rPr>
        <w:t xml:space="preserve"> </w:t>
      </w:r>
      <w:r>
        <w:rPr>
          <w:b/>
          <w:bCs/>
          <w:color w:val="FF0000"/>
          <w:u w:val="double"/>
        </w:rPr>
        <w:t>13</w:t>
      </w:r>
      <w:r>
        <w:rPr>
          <w:color w:val="FF0000"/>
          <w:u w:val="none"/>
        </w:rPr>
        <w:t>.</w:t>
        <w:tab/>
      </w:r>
      <w:r>
        <w:rPr/>
        <w:t xml:space="preserve"> Assignability</w:t>
      </w:r>
    </w:p>
    <w:p>
      <w:pPr>
        <w:pStyle w:val="Normal"/>
        <w:widowControl/>
        <w:rPr/>
      </w:pPr>
      <w:r>
        <w:rPr/>
        <w:t xml:space="preserve">.  Guarantor shall not assign its obligations hereunder without the </w:t>
      </w:r>
      <w:r>
        <w:rPr>
          <w:b/>
          <w:bCs/>
          <w:u w:val="double"/>
        </w:rPr>
        <w:t>prior</w:t>
      </w:r>
      <w:r>
        <w:rPr/>
        <w:t xml:space="preserve"> written consent of </w:t>
      </w:r>
      <w:r>
        <w:rPr>
          <w:strike/>
        </w:rPr>
        <w:t>Agent</w:t>
      </w:r>
      <w:r>
        <w:rPr/>
        <w:t xml:space="preserve"> </w:t>
      </w:r>
      <w:r>
        <w:rPr>
          <w:b/>
          <w:bCs/>
          <w:u w:val="double"/>
        </w:rPr>
        <w:t>Seller</w:t>
      </w:r>
      <w:r>
        <w:rPr/>
        <w:t xml:space="preserve"> and any purported assignment in violation of this provision shall be void</w:t>
      </w:r>
      <w:r>
        <w:rPr>
          <w:strike/>
        </w:rPr>
        <w:t>; provided, however, that Guarantor may assign its obligations hereunder to any "Investment Grade Person" (as such term is defined in the Senior Financing Agreement and the Junior Financing Agreement) (a) approved by Lenders having Proportionate Shares which in the aggregate equal or exceed seventy-five percent (75%), and (b) which assumes the obligations of Guarantor hereunder and under the other Operative Documents to which Guarantor is a party in a manner satisfactory to the Agent in its reasonable discretion. This Enron</w:t>
      </w:r>
      <w:r>
        <w:rPr>
          <w:b/>
          <w:bCs/>
          <w:u w:val="double"/>
        </w:rPr>
        <w:t xml:space="preserve">.  This </w:t>
      </w:r>
      <w:r>
        <w:rPr/>
        <w:t xml:space="preserve">Guaranty shall remain in effect notwithstanding any </w:t>
      </w:r>
      <w:r>
        <w:rPr>
          <w:strike/>
        </w:rPr>
        <w:t>Permitted Transfer (as defined under the Senior Financing Agreement and the Junior Financing Agreement)</w:t>
      </w:r>
      <w:r>
        <w:rPr/>
        <w:t xml:space="preserve"> </w:t>
      </w:r>
      <w:r>
        <w:rPr>
          <w:b/>
          <w:bCs/>
          <w:u w:val="double"/>
        </w:rPr>
        <w:t>transfer by Guarantor of its interest in Purchaser</w:t>
      </w:r>
      <w:r>
        <w:rPr/>
        <w:t xml:space="preserve">. </w:t>
      </w:r>
    </w:p>
    <w:p>
      <w:pPr>
        <w:pStyle w:val="Pleading1L1"/>
        <w:widowControl/>
        <w:rPr>
          <w:vanish/>
          <w:color w:val="FF0000"/>
        </w:rPr>
      </w:pPr>
      <w:r>
        <w:rPr>
          <w:color w:val="FF0000"/>
          <w:u w:val="none"/>
        </w:rPr>
        <w:t xml:space="preserve">Section </w:t>
      </w:r>
      <w:r>
        <w:rPr>
          <w:strike/>
          <w:color w:val="FF0000"/>
          <w:u w:val="none"/>
        </w:rPr>
        <w:t>15</w:t>
      </w:r>
      <w:r>
        <w:rPr>
          <w:color w:val="FF0000"/>
          <w:u w:val="none"/>
        </w:rPr>
        <w:t xml:space="preserve"> </w:t>
      </w:r>
      <w:r>
        <w:rPr>
          <w:b/>
          <w:bCs/>
          <w:color w:val="FF0000"/>
          <w:u w:val="double"/>
        </w:rPr>
        <w:t>14</w:t>
      </w:r>
      <w:r>
        <w:rPr>
          <w:color w:val="FF0000"/>
          <w:u w:val="none"/>
        </w:rPr>
        <w:t>.</w:t>
        <w:tab/>
      </w:r>
      <w:r>
        <w:rPr>
          <w:u w:val="none"/>
        </w:rPr>
        <w:t xml:space="preserve"> </w:t>
      </w:r>
      <w:r>
        <w:rPr/>
        <w:t>Expenses</w:t>
      </w:r>
    </w:p>
    <w:p>
      <w:pPr>
        <w:pStyle w:val="Normal"/>
        <w:widowControl/>
        <w:rPr/>
      </w:pPr>
      <w:r>
        <w:rPr/>
        <w:t xml:space="preserve">.  In addition to the Guaranteed Amount, the Guarantor agrees to pay to </w:t>
      </w:r>
      <w:r>
        <w:rPr>
          <w:strike/>
        </w:rPr>
        <w:t>the Agent</w:t>
      </w:r>
      <w:r>
        <w:rPr/>
        <w:t xml:space="preserve"> </w:t>
      </w:r>
      <w:r>
        <w:rPr>
          <w:b/>
          <w:bCs/>
          <w:u w:val="double"/>
        </w:rPr>
        <w:t>Seller</w:t>
      </w:r>
      <w:r>
        <w:rPr/>
        <w:t xml:space="preserve"> all reasonable out-of-pocket expenses (including, without limitation, reasonable expenses for legal services of any kind) incurred by </w:t>
      </w:r>
      <w:r>
        <w:rPr>
          <w:strike/>
        </w:rPr>
        <w:t>the Agent</w:t>
      </w:r>
      <w:r>
        <w:rPr/>
        <w:t xml:space="preserve"> </w:t>
      </w:r>
      <w:r>
        <w:rPr>
          <w:b/>
          <w:bCs/>
          <w:u w:val="double"/>
        </w:rPr>
        <w:t>Seller</w:t>
      </w:r>
      <w:r>
        <w:rPr/>
        <w:t xml:space="preserve"> in respect of the enforcement of any provision of this </w:t>
      </w:r>
      <w:r>
        <w:rPr>
          <w:strike/>
        </w:rPr>
        <w:t>Enron</w:t>
      </w:r>
      <w:r>
        <w:rPr/>
        <w:t xml:space="preserve"> Guaranty.</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pStyle w:val="Centered"/>
        <w:widowControl/>
        <w:spacing w:before="360" w:after="0"/>
        <w:rPr/>
      </w:pPr>
      <w:r>
        <w:rPr/>
        <w:t>[Signature on Next Page]</w:t>
      </w:r>
    </w:p>
    <w:p>
      <w:pPr>
        <w:pStyle w:val="BodyText"/>
        <w:widowControl/>
        <w:rPr/>
      </w:pPr>
      <w:r>
        <w:rPr/>
        <w:t xml:space="preserve">IN WITNESS WHEREOF, Guarantor has caused this </w:t>
      </w:r>
      <w:r>
        <w:rPr>
          <w:strike/>
        </w:rPr>
        <w:t>Enron</w:t>
      </w:r>
      <w:r>
        <w:rPr/>
        <w:t xml:space="preserve"> Guaranty to be duly executed and delivered as of the date first above written. </w:t>
      </w:r>
    </w:p>
    <w:p>
      <w:pPr>
        <w:pStyle w:val="Signature"/>
        <w:widowControl/>
        <w:rPr/>
      </w:pPr>
      <w:r>
        <w:rPr/>
        <w:t xml:space="preserve">ENRON CORP., </w:t>
        <w:br/>
        <w:t xml:space="preserve">an </w:t>
      </w:r>
      <w:r>
        <w:rPr>
          <w:b/>
          <w:bCs/>
          <w:u w:val="double"/>
        </w:rPr>
        <w:t>[</w:t>
      </w:r>
      <w:r>
        <w:rPr/>
        <w:t>Oregon</w:t>
      </w:r>
      <w:r>
        <w:rPr>
          <w:b/>
          <w:bCs/>
          <w:u w:val="double"/>
        </w:rPr>
        <w:t>]</w:t>
      </w:r>
      <w:r>
        <w:rPr/>
        <w:t xml:space="preserve"> corporation </w:t>
        <w:br/>
        <w:br/>
        <w:br/>
        <w:br/>
        <w:t xml:space="preserve">By: </w:t>
        <w:tab/>
      </w:r>
      <w:r>
        <w:rPr>
          <w:u w:val="single"/>
        </w:rPr>
        <w:tab/>
        <w:br/>
      </w:r>
      <w:r>
        <w:rPr/>
        <w:tab/>
        <w:t>Name:</w:t>
      </w:r>
      <w:r>
        <w:rPr>
          <w:u w:val="single"/>
        </w:rPr>
        <w:tab/>
      </w:r>
      <w:r>
        <w:rPr/>
        <w:br/>
        <w:tab/>
        <w:t>Title:</w:t>
      </w:r>
      <w:r>
        <w:rPr>
          <w:u w:val="single"/>
        </w:rPr>
        <w:tab/>
      </w:r>
    </w:p>
    <w:p>
      <w:pPr>
        <w:pStyle w:val="Signature"/>
        <w:widowControl/>
        <w:ind w:start="0" w:end="0"/>
        <w:rPr>
          <w:u w:val="single"/>
        </w:rPr>
      </w:pPr>
      <w:r>
        <w:rPr>
          <w:u w:val="single"/>
        </w:rPr>
      </w:r>
    </w:p>
    <w:p>
      <w:pPr>
        <w:pStyle w:val="Signature"/>
        <w:widowControl/>
        <w:ind w:start="0" w:end="0"/>
        <w:rPr/>
      </w:pPr>
      <w:r>
        <w:rPr/>
      </w:r>
    </w:p>
    <w:p>
      <w:pPr>
        <w:pStyle w:val="Signature"/>
        <w:widowControl/>
        <w:ind w:start="0" w:end="0"/>
        <w:rPr/>
      </w:pPr>
      <w:r>
        <w:rPr/>
      </w:r>
    </w:p>
    <w:p>
      <w:pPr>
        <w:pStyle w:val="Signature"/>
        <w:widowControl/>
        <w:ind w:start="0" w:end="0"/>
        <w:rPr/>
      </w:pPr>
      <w:r>
        <w:rPr/>
        <w:t>------------------ COMPARISON OF FOOTERS ------------------</w:t>
      </w:r>
    </w:p>
    <w:p>
      <w:pPr>
        <w:pStyle w:val="Signature"/>
        <w:widowControl/>
        <w:ind w:start="0" w:end="0"/>
        <w:rPr/>
      </w:pPr>
      <w:r>
        <w:rPr/>
      </w:r>
    </w:p>
    <w:p>
      <w:pPr>
        <w:pStyle w:val="Signature"/>
        <w:widowControl/>
        <w:ind w:start="0" w:end="0"/>
        <w:rPr/>
      </w:pPr>
      <w:r>
        <w:rPr/>
        <w:t>-FOOTER 1-</w:t>
      </w:r>
    </w:p>
    <w:p>
      <w:pPr>
        <w:pStyle w:val="Signature"/>
        <w:widowControl/>
        <w:ind w:start="0" w:end="0"/>
        <w:rPr/>
      </w:pPr>
      <w:r>
        <w:rPr>
          <w:strike/>
        </w:rPr>
        <w:t>8 Enron</w:t>
      </w:r>
      <w:r>
        <w:rPr/>
        <w:t xml:space="preserve"> Guaranty</w:t>
      </w:r>
    </w:p>
    <w:p>
      <w:pPr>
        <w:pStyle w:val="Signature"/>
        <w:widowControl/>
        <w:ind w:start="0" w:end="0"/>
        <w:rPr>
          <w:b/>
          <w:bCs/>
          <w:u w:val="double"/>
        </w:rPr>
      </w:pPr>
      <w:r>
        <w:rPr>
          <w:b/>
          <w:bCs/>
          <w:u w:val="double"/>
        </w:rPr>
        <w:t>7</w:t>
      </w:r>
    </w:p>
    <w:p>
      <w:pPr>
        <w:pStyle w:val="Signature"/>
        <w:widowControl/>
        <w:ind w:start="0" w:end="0"/>
        <w:rPr/>
      </w:pPr>
      <w:r>
        <w:rPr/>
        <w:t>LA1:#</w:t>
      </w:r>
      <w:r>
        <w:rPr>
          <w:b/>
          <w:bCs/>
          <w:u w:val="double"/>
        </w:rPr>
        <w:t xml:space="preserve">6191664v2 </w:t>
      </w:r>
      <w:r>
        <w:rPr>
          <w:strike/>
        </w:rPr>
        <w:t xml:space="preserve">6162467 </w:t>
      </w:r>
    </w:p>
    <w:p>
      <w:pPr>
        <w:pStyle w:val="Signature"/>
        <w:widowControl/>
        <w:ind w:start="0" w:end="0"/>
        <w:rPr>
          <w:strike/>
        </w:rPr>
      </w:pPr>
      <w:r>
        <w:rPr>
          <w:strike/>
        </w:rPr>
      </w:r>
    </w:p>
    <w:p>
      <w:pPr>
        <w:pStyle w:val="Signature"/>
        <w:widowControl/>
        <w:ind w:start="0" w:end="0"/>
        <w:rPr>
          <w:strike/>
        </w:rPr>
      </w:pPr>
      <w:r>
        <w:rPr>
          <w:strike/>
        </w:rPr>
        <w:t>-FOOTER 2-</w:t>
      </w:r>
    </w:p>
    <w:p>
      <w:pPr>
        <w:pStyle w:val="Signature"/>
        <w:widowControl/>
        <w:ind w:start="0" w:end="0"/>
        <w:rPr>
          <w:strike/>
        </w:rPr>
      </w:pPr>
      <w:r>
        <w:rPr>
          <w:strike/>
        </w:rPr>
        <w:t>Enron Guaranty</w:t>
      </w:r>
    </w:p>
    <w:p>
      <w:pPr>
        <w:pStyle w:val="Signature"/>
        <w:widowControl/>
        <w:ind w:start="0" w:end="0"/>
        <w:rPr>
          <w:strike/>
        </w:rPr>
      </w:pPr>
      <w:r>
        <w:rPr>
          <w:strike/>
        </w:rPr>
        <w:t xml:space="preserve">LA1:#6162467 </w:t>
      </w:r>
    </w:p>
    <w:p>
      <w:pPr>
        <w:pStyle w:val="Signature"/>
        <w:widowControl/>
        <w:ind w:start="0" w:end="0"/>
        <w:rPr>
          <w:strike/>
        </w:rPr>
      </w:pPr>
      <w:r>
        <w:rPr>
          <w:strike/>
        </w:rPr>
        <w:t>E</w:t>
      </w:r>
    </w:p>
    <w:p>
      <w:pPr>
        <w:pStyle w:val="Signature"/>
        <w:widowControl/>
        <w:ind w:start="0" w:end="0"/>
        <w:rPr>
          <w:strike/>
        </w:rPr>
      </w:pPr>
      <w:r>
        <w:rPr>
          <w:strike/>
        </w:rPr>
      </w:r>
    </w:p>
    <w:p>
      <w:pPr>
        <w:pStyle w:val="Signature"/>
        <w:widowControl/>
        <w:ind w:start="0" w:end="0"/>
        <w:rPr>
          <w:strike/>
        </w:rPr>
      </w:pPr>
      <w:r>
        <w:rPr>
          <w:strike/>
        </w:rPr>
        <w:t>-FOOTER 3-</w:t>
      </w:r>
    </w:p>
    <w:p>
      <w:pPr>
        <w:pStyle w:val="Signature"/>
        <w:widowControl/>
        <w:ind w:start="0" w:end="0"/>
        <w:rPr>
          <w:strike/>
        </w:rPr>
      </w:pPr>
      <w:r>
        <w:rPr>
          <w:strike/>
        </w:rPr>
        <w:t>9 Senior Enron Reserve Account Guaranty</w:t>
      </w:r>
    </w:p>
    <w:p>
      <w:pPr>
        <w:pStyle w:val="Signature"/>
        <w:widowControl/>
        <w:ind w:start="0" w:end="0"/>
        <w:rPr>
          <w:strike/>
        </w:rPr>
      </w:pPr>
      <w:r>
        <w:rPr>
          <w:strike/>
        </w:rPr>
        <w:t xml:space="preserve">LA1:#6191664v1 </w:t>
      </w:r>
    </w:p>
    <w:p>
      <w:pPr>
        <w:pStyle w:val="Signature"/>
        <w:widowControl/>
        <w:ind w:start="0" w:end="0"/>
        <w:rPr/>
      </w:pPr>
      <w:r>
        <w:rPr/>
        <w:t xml:space="preserve">34257-05000 </w:t>
      </w:r>
    </w:p>
    <w:p>
      <w:pPr>
        <w:pStyle w:val="Signature"/>
        <w:widowControl/>
        <w:ind w:start="0" w:end="0"/>
        <w:rPr>
          <w:b/>
          <w:bCs/>
          <w:u w:val="double"/>
        </w:rPr>
      </w:pPr>
      <w:r>
        <w:rPr>
          <w:b/>
          <w:bCs/>
          <w:u w:val="double"/>
        </w:rPr>
      </w:r>
    </w:p>
    <w:p>
      <w:pPr>
        <w:pStyle w:val="Signature"/>
        <w:widowControl/>
        <w:ind w:start="0" w:end="0"/>
        <w:rPr>
          <w:b/>
          <w:bCs/>
          <w:u w:val="double"/>
        </w:rPr>
      </w:pPr>
      <w:r>
        <w:rPr>
          <w:b/>
          <w:bCs/>
          <w:u w:val="double"/>
        </w:rPr>
        <w:t>-FOOTER 2-</w:t>
      </w:r>
    </w:p>
    <w:p>
      <w:pPr>
        <w:pStyle w:val="Signature"/>
        <w:widowControl/>
        <w:ind w:start="0" w:end="0"/>
        <w:rPr>
          <w:b/>
          <w:bCs/>
          <w:u w:val="double"/>
        </w:rPr>
      </w:pPr>
      <w:r>
        <w:rPr>
          <w:b/>
          <w:bCs/>
          <w:u w:val="double"/>
        </w:rPr>
        <w:t>Guaranty</w:t>
      </w:r>
    </w:p>
    <w:p>
      <w:pPr>
        <w:pStyle w:val="Signature"/>
        <w:widowControl/>
        <w:ind w:start="0" w:end="0"/>
        <w:rPr>
          <w:b/>
          <w:bCs/>
          <w:u w:val="double"/>
        </w:rPr>
      </w:pPr>
      <w:r>
        <w:rPr>
          <w:b/>
          <w:bCs/>
          <w:u w:val="double"/>
        </w:rPr>
      </w:r>
    </w:p>
    <w:p>
      <w:pPr>
        <w:pStyle w:val="Signature"/>
        <w:widowControl/>
        <w:ind w:start="0" w:end="0"/>
        <w:rPr>
          <w:b/>
          <w:bCs/>
          <w:u w:val="double"/>
        </w:rPr>
      </w:pPr>
      <w:r>
        <w:rPr>
          <w:b/>
          <w:bCs/>
          <w:u w:val="double"/>
        </w:rPr>
        <w:t xml:space="preserve">LA1:#6191664v2 </w:t>
      </w:r>
    </w:p>
    <w:p>
      <w:pPr>
        <w:pStyle w:val="Signature"/>
        <w:widowControl/>
        <w:ind w:start="0" w:end="0"/>
        <w:rPr>
          <w:b/>
          <w:bCs/>
          <w:u w:val="double"/>
        </w:rPr>
      </w:pPr>
      <w:r>
        <w:rPr>
          <w:b/>
          <w:bCs/>
          <w:u w:val="double"/>
        </w:rPr>
        <w:t xml:space="preserve">34257-05000 </w:t>
      </w:r>
    </w:p>
    <w:p>
      <w:pPr>
        <w:pStyle w:val="Signature"/>
        <w:widowControl/>
        <w:ind w:start="0" w:end="0"/>
        <w:rPr>
          <w:b/>
          <w:bCs/>
          <w:u w:val="double"/>
        </w:rPr>
      </w:pPr>
      <w:r>
        <w:rPr>
          <w:b/>
          <w:bCs/>
          <w:u w:val="double"/>
        </w:rPr>
        <w:t>G</w:t>
      </w:r>
    </w:p>
    <w:p>
      <w:pPr>
        <w:pStyle w:val="Signature"/>
        <w:widowControl/>
        <w:ind w:start="0" w:end="0"/>
        <w:rPr>
          <w:b/>
          <w:bCs/>
          <w:u w:val="double"/>
        </w:rPr>
      </w:pPr>
      <w:r>
        <w:rPr>
          <w:b/>
          <w:bCs/>
          <w:u w:val="double"/>
        </w:rPr>
      </w:r>
    </w:p>
    <w:p>
      <w:pPr>
        <w:pStyle w:val="Signature"/>
        <w:widowControl/>
        <w:ind w:start="0" w:end="0"/>
        <w:rPr>
          <w:b/>
          <w:bCs/>
          <w:u w:val="double"/>
        </w:rPr>
      </w:pPr>
      <w:r>
        <w:rPr>
          <w:b/>
          <w:bCs/>
          <w:u w:val="double"/>
        </w:rPr>
        <w:t>-FOOTER 3-</w:t>
      </w:r>
    </w:p>
    <w:p>
      <w:pPr>
        <w:pStyle w:val="Signature"/>
        <w:widowControl/>
        <w:ind w:start="0" w:end="0"/>
        <w:rPr>
          <w:b/>
          <w:bCs/>
          <w:u w:val="double"/>
        </w:rPr>
      </w:pPr>
      <w:r>
        <w:rPr>
          <w:b/>
          <w:bCs/>
          <w:u w:val="double"/>
        </w:rPr>
        <w:t>8 Guaranty</w:t>
      </w:r>
    </w:p>
    <w:p>
      <w:pPr>
        <w:pStyle w:val="Signature"/>
        <w:widowControl/>
        <w:ind w:start="0" w:end="0"/>
        <w:rPr>
          <w:b/>
          <w:bCs/>
          <w:u w:val="double"/>
        </w:rPr>
      </w:pPr>
      <w:r>
        <w:rPr>
          <w:b/>
          <w:bCs/>
          <w:u w:val="double"/>
        </w:rPr>
        <w:t xml:space="preserve">LA1:#6191664v2 </w:t>
      </w:r>
    </w:p>
    <w:p>
      <w:pPr>
        <w:pStyle w:val="Signature"/>
        <w:widowControl/>
        <w:ind w:start="0" w:end="0"/>
        <w:rPr>
          <w:b/>
          <w:bCs/>
          <w:u w:val="double"/>
        </w:rPr>
      </w:pPr>
      <w:r>
        <w:rPr>
          <w:b/>
          <w:bCs/>
          <w:u w:val="double"/>
        </w:rPr>
        <w:t xml:space="preserve">34257-05000 </w:t>
      </w:r>
    </w:p>
    <w:p>
      <w:pPr>
        <w:pStyle w:val="Signature"/>
        <w:widowControl/>
        <w:ind w:start="0" w:end="0"/>
        <w:rPr/>
      </w:pPr>
      <w:r>
        <w:rPr/>
        <w:t>I</w:t>
      </w:r>
    </w:p>
    <w:p>
      <w:pPr>
        <w:pStyle w:val="Signature"/>
        <w:widowControl/>
        <w:ind w:start="0" w:end="0"/>
        <w:rPr/>
      </w:pPr>
      <w:r>
        <w:rPr/>
      </w:r>
    </w:p>
    <w:p>
      <w:pPr>
        <w:pStyle w:val="Signature"/>
        <w:widowControl/>
        <w:ind w:start="0" w:end="0"/>
        <w:rPr/>
      </w:pPr>
      <w:r>
        <w:rPr/>
        <w:t xml:space="preserve">This redlined draft, generated by CompareRite (TM) - The Instant Redliner, shows the differences between - </w:t>
      </w:r>
    </w:p>
    <w:p>
      <w:pPr>
        <w:pStyle w:val="Signature"/>
        <w:widowControl/>
        <w:ind w:start="0" w:end="0"/>
        <w:rPr/>
      </w:pPr>
      <w:r>
        <w:rPr/>
        <w:t>original document   : F:\DOCS\LA1\LGARNER\MISC\3_P$_01!.DOC</w:t>
      </w:r>
    </w:p>
    <w:p>
      <w:pPr>
        <w:pStyle w:val="Signature"/>
        <w:widowControl/>
        <w:ind w:start="0" w:end="0"/>
        <w:rPr/>
      </w:pPr>
      <w:r>
        <w:rPr/>
        <w:t>and revised document: F:\DOCS\LA1\LGARNER\MISC\3_P$_02!.DOC</w:t>
      </w:r>
    </w:p>
    <w:p>
      <w:pPr>
        <w:pStyle w:val="Signature"/>
        <w:widowControl/>
        <w:ind w:start="0" w:end="0"/>
        <w:rPr/>
      </w:pPr>
      <w:r>
        <w:rPr/>
      </w:r>
    </w:p>
    <w:p>
      <w:pPr>
        <w:pStyle w:val="Signature"/>
        <w:widowControl/>
        <w:ind w:start="0" w:end="0"/>
        <w:rPr/>
      </w:pPr>
      <w:r>
        <w:rPr/>
        <w:t>CompareRite found  127 change(s) in the text</w:t>
      </w:r>
    </w:p>
    <w:p>
      <w:pPr>
        <w:pStyle w:val="Signature"/>
        <w:widowControl/>
        <w:ind w:start="0" w:end="0"/>
        <w:rPr/>
      </w:pPr>
      <w:r>
        <w:rPr/>
        <w:t>CompareRite found    4 change(s) in the notes</w:t>
      </w:r>
    </w:p>
    <w:p>
      <w:pPr>
        <w:pStyle w:val="Signature"/>
        <w:widowControl/>
        <w:ind w:start="0" w:end="0"/>
        <w:rPr/>
      </w:pPr>
      <w:r>
        <w:rPr/>
      </w:r>
    </w:p>
    <w:p>
      <w:pPr>
        <w:pStyle w:val="Signature"/>
        <w:widowControl/>
        <w:ind w:start="0" w:end="0"/>
        <w:rPr/>
      </w:pPr>
      <w:r>
        <w:rPr/>
        <w:t xml:space="preserve">Deletions appear as Overstrike text </w:t>
      </w:r>
    </w:p>
    <w:p>
      <w:pPr>
        <w:pStyle w:val="Signature"/>
        <w:widowControl/>
        <w:ind w:start="0" w:end="0"/>
        <w:rPr/>
      </w:pPr>
      <w:r>
        <w:rPr/>
        <w:t xml:space="preserve">Additions appear as Bold+Dbl Underline text </w:t>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variable"/>
  </w:font>
  <w:font w:name="Book Antiqua">
    <w:charset w:val="01"/>
    <w:family w:val="roman"/>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spacing w:lineRule="exact" w:line="200" w:before="240" w:after="0"/>
      <w:rPr/>
    </w:pPr>
    <w:r>
      <w:rPr/>
      <w:t xml:space="preserve"> </w:t>
    </w:r>
    <w:r>
      <w:rPr/>
      <w:tab/>
      <w:tab/>
    </w:r>
    <w:r>
      <w:rPr>
        <w:sz w:val="16"/>
        <w:szCs w:val="16"/>
      </w:rPr>
      <w:t>Guaranty</w:t>
    </w:r>
  </w:p>
  <w:p>
    <w:pPr>
      <w:pStyle w:val="Footer"/>
      <w:widowControl/>
      <w:spacing w:lineRule="exact" w:line="20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widowControl/>
      <w:spacing w:lineRule="exact" w:line="200"/>
      <w:rPr/>
    </w:pPr>
    <w:r>
      <w:rPr>
        <w:rStyle w:val="zzmpTrailerItem"/>
      </w:rPr>
      <w:t>LA1:#6191664v2</w:t>
    </w:r>
    <w:r>
      <w:rPr/>
      <w:t xml:space="preserve"> </w:t>
    </w:r>
  </w:p>
  <w:p>
    <w:pPr>
      <w:pStyle w:val="Footer"/>
      <w:widowControl/>
      <w:spacing w:lineRule="exact" w:line="200"/>
      <w:rPr/>
    </w:pPr>
    <w:r>
      <w:rPr>
        <w:rStyle w:val="zzmpTrailerItem"/>
      </w:rPr>
      <w:t xml:space="preserve">34257-05000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spacing w:lineRule="exact" w:line="200"/>
      <w:rPr/>
    </w:pPr>
    <w:r>
      <w:rPr/>
      <w:tab/>
      <w:tab/>
    </w:r>
    <w:r>
      <w:rPr>
        <w:sz w:val="16"/>
        <w:szCs w:val="16"/>
      </w:rPr>
      <w:t>Guaranty</w:t>
    </w:r>
  </w:p>
  <w:p>
    <w:pPr>
      <w:pStyle w:val="Footer"/>
      <w:widowControl/>
      <w:spacing w:lineRule="exact" w:line="200"/>
      <w:rPr/>
    </w:pPr>
    <w:r>
      <w:rPr/>
      <w:tab/>
    </w:r>
  </w:p>
  <w:p>
    <w:pPr>
      <w:pStyle w:val="Footer"/>
      <w:widowControl/>
      <w:spacing w:lineRule="exact" w:line="200"/>
      <w:rPr/>
    </w:pPr>
    <w:r>
      <w:rPr>
        <w:rStyle w:val="zzmpTrailerItem"/>
      </w:rPr>
      <w:t>LA1:#6191664v2</w:t>
    </w:r>
    <w:r>
      <w:rPr/>
      <w:t xml:space="preserve"> </w:t>
    </w:r>
  </w:p>
  <w:p>
    <w:pPr>
      <w:pStyle w:val="Footer"/>
      <w:widowControl/>
      <w:spacing w:lineRule="exact" w:line="200"/>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spacing w:lineRule="exact" w:line="200"/>
      <w:rPr/>
    </w:pP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ab/>
    </w:r>
    <w:r>
      <w:rPr>
        <w:sz w:val="16"/>
        <w:szCs w:val="16"/>
      </w:rPr>
      <w:t>Guaranty</w:t>
    </w:r>
  </w:p>
  <w:p>
    <w:pPr>
      <w:pStyle w:val="Footer"/>
      <w:widowControl/>
      <w:tabs>
        <w:tab w:val="clear" w:pos="8640"/>
        <w:tab w:val="center" w:pos="4680" w:leader="none"/>
        <w:tab w:val="right" w:pos="9360" w:leader="none"/>
      </w:tabs>
      <w:spacing w:lineRule="exact" w:line="200"/>
      <w:rPr/>
    </w:pPr>
    <w:r>
      <w:rPr>
        <w:rStyle w:val="zzmpTrailerItem"/>
      </w:rPr>
      <w:t>LA1:#6191664v2</w:t>
    </w:r>
    <w:r>
      <w:rPr/>
      <w:t xml:space="preserve"> </w:t>
    </w:r>
  </w:p>
  <w:p>
    <w:pPr>
      <w:pStyle w:val="Footer"/>
      <w:widowControl/>
      <w:tabs>
        <w:tab w:val="clear" w:pos="8640"/>
        <w:tab w:val="center" w:pos="4680" w:leader="none"/>
        <w:tab w:val="right" w:pos="9360" w:leader="none"/>
      </w:tabs>
      <w:spacing w:lineRule="exact" w:line="200"/>
      <w:rPr/>
    </w:pPr>
    <w:r>
      <w:rPr>
        <w:rStyle w:val="zzmpTrailerItem"/>
      </w:rPr>
      <w:t xml:space="preserve">34257-05000 </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bold">
    <w:name w:val="bold"/>
    <w:basedOn w:val="DefaultParagraphFont"/>
    <w:qFormat/>
    <w:rPr>
      <w:b/>
      <w:bCs/>
      <w:sz w:val="20"/>
      <w:szCs w:val="20"/>
    </w:rPr>
  </w:style>
  <w:style w:type="character" w:styleId="Underlined">
    <w:name w:val="Underlined"/>
    <w:basedOn w:val="DefaultParagraphFont"/>
    <w:qFormat/>
    <w:rPr>
      <w:u w:val="single"/>
    </w:rPr>
  </w:style>
  <w:style w:type="character" w:styleId="zzmpTrailerItem">
    <w:name w:val="zzmpTrailerItem"/>
    <w:basedOn w:val="DefaultParagraphFont"/>
    <w:qFormat/>
    <w:rPr>
      <w:sz w:val="16"/>
      <w:szCs w:val="16"/>
    </w:rPr>
  </w:style>
  <w:style w:type="character" w:styleId="zzmpTCEntryL1">
    <w:name w:val="zzmpTCEntryL1"/>
    <w:basedOn w:val="DefaultParagraphFont"/>
    <w:qFormat/>
    <w:rPr>
      <w:b/>
      <w:bCs/>
      <w:caps/>
      <w:color w:val="0000FF"/>
      <w:sz w:val="20"/>
      <w:szCs w:val="20"/>
    </w:rPr>
  </w:style>
  <w:style w:type="character" w:styleId="zzmpTCEntryL2">
    <w:name w:val="zzmpTCEntryL2"/>
    <w:basedOn w:val="DefaultParagraphFont"/>
    <w:qFormat/>
    <w:rPr>
      <w:b/>
      <w:bCs/>
      <w:color w:val="0000FF"/>
      <w:sz w:val="20"/>
      <w:szCs w:val="20"/>
    </w:rPr>
  </w:style>
  <w:style w:type="character" w:styleId="zzmpTCEntryL3">
    <w:name w:val="zzmpTCEntryL3"/>
    <w:basedOn w:val="DefaultParagraphFont"/>
    <w:qFormat/>
    <w:rPr>
      <w:b/>
      <w:bCs/>
      <w:color w:val="0000FF"/>
      <w:sz w:val="20"/>
      <w:szCs w:val="20"/>
    </w:rPr>
  </w:style>
  <w:style w:type="character" w:styleId="zzmpTCEntryL4">
    <w:name w:val="zzmpTCEntryL4"/>
    <w:basedOn w:val="DefaultParagraphFont"/>
    <w:qFormat/>
    <w:rPr>
      <w:b/>
      <w:bCs/>
      <w:color w:val="0000FF"/>
      <w:sz w:val="20"/>
      <w:szCs w:val="20"/>
    </w:rPr>
  </w:style>
  <w:style w:type="character" w:styleId="zzmpTCEntryL5">
    <w:name w:val="zzmpTCEntryL5"/>
    <w:basedOn w:val="DefaultParagraphFont"/>
    <w:qFormat/>
    <w:rPr>
      <w:color w:val="0000FF"/>
      <w:sz w:val="20"/>
      <w:szCs w:val="20"/>
    </w:rPr>
  </w:style>
  <w:style w:type="character" w:styleId="zzmpTCEntryL6">
    <w:name w:val="zzmpTCEntryL6"/>
    <w:basedOn w:val="DefaultParagraphFont"/>
    <w:qFormat/>
    <w:rPr>
      <w:color w:val="0000FF"/>
      <w:sz w:val="20"/>
      <w:szCs w:val="20"/>
    </w:rPr>
  </w:style>
  <w:style w:type="character" w:styleId="zzmpTCEntryL7">
    <w:name w:val="zzmpTCEntryL7"/>
    <w:basedOn w:val="DefaultParagraphFont"/>
    <w:qFormat/>
    <w:rPr>
      <w:color w:val="0000FF"/>
      <w:sz w:val="20"/>
      <w:szCs w:val="20"/>
    </w:rPr>
  </w:style>
  <w:style w:type="character" w:styleId="zzmpTCEntryL8">
    <w:name w:val="zzmpTCEntryL8"/>
    <w:basedOn w:val="DefaultParagraphFont"/>
    <w:qFormat/>
    <w:rPr>
      <w:sz w:val="20"/>
      <w:szCs w:val="20"/>
    </w:rPr>
  </w:style>
  <w:style w:type="character" w:styleId="Pleading1TCEntryL8">
    <w:name w:val="Pleading1TCEntryL8"/>
    <w:basedOn w:val="DefaultParagraphFont"/>
    <w:qFormat/>
    <w:rPr>
      <w:color w:val="0000FF"/>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8640" w:leader="none"/>
      </w:tabs>
    </w:pPr>
    <w:rPr/>
  </w:style>
  <w:style w:type="paragraph" w:styleId="BodyText2">
    <w:name w:val="Body Text 2"/>
    <w:basedOn w:val="BodyText"/>
    <w:next w:val="BodyText"/>
    <w:qFormat/>
    <w:pPr>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240" w:after="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Times New Roman" w:hAnsi="Times New Roman;Times New Roman" w:eastAsia="Times New Roman;Times New Roman" w:cs="Times New Roman;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before="0" w:after="0"/>
    </w:pPr>
    <w:rPr/>
  </w:style>
  <w:style w:type="paragraph" w:styleId="BodyTextContinuedDoublePleading">
    <w:name w:val="Body Text Continued Double Pleading"/>
    <w:basedOn w:val="BodyTextDoublePleading"/>
    <w:qFormat/>
    <w:pPr>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bCs/>
    </w:rPr>
  </w:style>
  <w:style w:type="paragraph" w:styleId="CenteredBold">
    <w:name w:val="Centered Bold"/>
    <w:basedOn w:val="FlushLeft"/>
    <w:qFormat/>
    <w:pPr>
      <w:jc w:val="center"/>
    </w:pPr>
    <w:rPr>
      <w:b/>
      <w:bCs/>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bCs/>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bCs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FlushLeftPleading">
    <w:name w:val="Flush Left Pleading"/>
    <w:basedOn w:val="FlushLeft"/>
    <w:qFormat/>
    <w:pPr>
      <w:spacing w:lineRule="exact" w:line="240"/>
    </w:pPr>
    <w:rPr/>
  </w:style>
  <w:style w:type="paragraph" w:styleId="HeadingTitleDoublePleading">
    <w:name w:val="Heading Title Double Pleading"/>
    <w:basedOn w:val="Normal"/>
    <w:qFormat/>
    <w:pPr>
      <w:spacing w:lineRule="exact" w:line="480"/>
    </w:pPr>
    <w:rPr>
      <w:b/>
      <w:bCs/>
      <w:u w:val="single"/>
    </w:rPr>
  </w:style>
  <w:style w:type="paragraph" w:styleId="HeadingTitle">
    <w:name w:val="Heading Title"/>
    <w:basedOn w:val="FlushLeft"/>
    <w:qFormat/>
    <w:pPr>
      <w:jc w:val="center"/>
    </w:pPr>
    <w:rPr>
      <w:b/>
      <w:bCs/>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QuoteDoublePleading">
    <w:name w:val="Quote Double Pleading"/>
    <w:basedOn w:val="FlushLeft"/>
    <w:qFormat/>
    <w:pPr>
      <w:spacing w:lineRule="exact" w:line="480"/>
      <w:ind w:hanging="0" w:start="1440" w:end="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b/>
      <w:bCs/>
      <w:caps/>
    </w:rPr>
  </w:style>
  <w:style w:type="paragraph" w:styleId="Signature">
    <w:name w:val="Signature"/>
    <w:basedOn w:val="Normal"/>
    <w:pPr>
      <w:tabs>
        <w:tab w:val="clear" w:pos="720"/>
        <w:tab w:val="left" w:pos="4770" w:leader="none"/>
        <w:tab w:val="right" w:pos="9360" w:leader="none"/>
      </w:tabs>
      <w:spacing w:before="360" w:after="0"/>
      <w:ind w:hanging="0" w:start="4320" w:end="0"/>
    </w:pPr>
    <w:rPr/>
  </w:style>
  <w:style w:type="paragraph" w:styleId="FlushRight">
    <w:name w:val="Flush Right"/>
    <w:basedOn w:val="FlushLeft"/>
    <w:qFormat/>
    <w:pPr>
      <w:spacing w:before="0" w:after="0"/>
      <w:jc w:val="end"/>
    </w:pPr>
    <w:rPr/>
  </w:style>
  <w:style w:type="paragraph" w:styleId="Date">
    <w:name w:val="Date"/>
    <w:basedOn w:val="Normal"/>
    <w:next w:val="Normal"/>
    <w:qFormat/>
    <w:pPr>
      <w:tabs>
        <w:tab w:val="clear" w:pos="720"/>
        <w:tab w:val="left" w:pos="4320" w:leader="none"/>
      </w:tabs>
      <w:spacing w:before="240" w:after="0"/>
    </w:pPr>
    <w:rPr/>
  </w:style>
  <w:style w:type="paragraph" w:styleId="Bullet">
    <w:name w:val="Bullet"/>
    <w:basedOn w:val="Normal"/>
    <w:qFormat/>
    <w:pPr>
      <w:tabs>
        <w:tab w:val="clear" w:pos="720"/>
        <w:tab w:val="left" w:pos="1080" w:leader="none"/>
      </w:tabs>
      <w:ind w:hanging="0" w:start="720" w:end="0"/>
    </w:pPr>
    <w:rPr>
      <w:rFonts w:ascii="Book Antiqua" w:hAnsi="Book Antiqua" w:eastAsia="Book Antiqua" w:cs="Book Antiqua"/>
      <w:sz w:val="20"/>
      <w:szCs w:val="20"/>
    </w:rPr>
  </w:style>
  <w:style w:type="paragraph" w:styleId="FlushLef2">
    <w:name w:val="Flush Lef2"/>
    <w:basedOn w:val="FlushLeft"/>
    <w:qFormat/>
    <w:pPr/>
    <w:rPr>
      <w:rFonts w:ascii="Book Antiqua" w:hAnsi="Book Antiqua" w:eastAsia="Book Antiqua" w:cs="Book Antiqua"/>
      <w:b/>
      <w:bCs/>
      <w:sz w:val="20"/>
      <w:szCs w:val="20"/>
    </w:rPr>
  </w:style>
  <w:style w:type="paragraph" w:styleId="FlushLeftSpecial">
    <w:name w:val="FlushLeftSpecial"/>
    <w:basedOn w:val="FlushLeft"/>
    <w:qFormat/>
    <w:pPr>
      <w:ind w:hanging="522" w:start="522" w:end="0"/>
    </w:pPr>
    <w:rPr/>
  </w:style>
  <w:style w:type="paragraph" w:styleId="Header2">
    <w:name w:val="Header2"/>
    <w:basedOn w:val="Header"/>
    <w:qFormat/>
    <w:pPr>
      <w:spacing w:before="0" w:after="360"/>
    </w:pPr>
    <w:rPr>
      <w:b/>
      <w:bCs/>
      <w:i/>
      <w:iCs/>
      <w:sz w:val="32"/>
      <w:szCs w:val="32"/>
    </w:rPr>
  </w:style>
  <w:style w:type="paragraph" w:styleId="PlainText">
    <w:name w:val="Plain Text"/>
    <w:basedOn w:val="Normal"/>
    <w:qFormat/>
    <w:pPr/>
    <w:rPr>
      <w:rFonts w:ascii="Courier New" w:hAnsi="Courier New" w:eastAsia="Courier New" w:cs="Courier New"/>
      <w:sz w:val="20"/>
      <w:szCs w:val="20"/>
    </w:rPr>
  </w:style>
  <w:style w:type="paragraph" w:styleId="NumContinue">
    <w:name w:val="Num Continue"/>
    <w:basedOn w:val="BodyText"/>
    <w:qFormat/>
    <w:pPr>
      <w:spacing w:before="240" w:after="240"/>
    </w:pPr>
    <w:rPr/>
  </w:style>
  <w:style w:type="paragraph" w:styleId="Pleading1L1">
    <w:name w:val="Pleading1_L1"/>
    <w:basedOn w:val="Normal"/>
    <w:next w:val="BodyText"/>
    <w:qFormat/>
    <w:pPr>
      <w:tabs>
        <w:tab w:val="clear" w:pos="720"/>
        <w:tab w:val="left" w:pos="2520" w:leader="none"/>
      </w:tabs>
      <w:spacing w:before="240" w:after="0"/>
      <w:ind w:firstLine="1440" w:start="0" w:end="0"/>
    </w:pPr>
    <w:rPr>
      <w:u w:val="single"/>
    </w:rPr>
  </w:style>
  <w:style w:type="paragraph" w:styleId="Pleading1L2">
    <w:name w:val="Pleading1_L2"/>
    <w:basedOn w:val="Pleading1L1"/>
    <w:next w:val="BodyText"/>
    <w:qFormat/>
    <w:pPr>
      <w:tabs>
        <w:tab w:val="left" w:pos="2520" w:leader="none"/>
        <w:tab w:val="left" w:pos="2880" w:leader="none"/>
      </w:tabs>
      <w:ind w:firstLine="1440" w:start="720" w:end="0"/>
    </w:pPr>
    <w:rPr>
      <w:u w:val="none"/>
    </w:rPr>
  </w:style>
  <w:style w:type="paragraph" w:styleId="Pleading1L3">
    <w:name w:val="Pleading1_L3"/>
    <w:basedOn w:val="Pleading1L2"/>
    <w:next w:val="BodyText"/>
    <w:qFormat/>
    <w:pPr>
      <w:tabs>
        <w:tab w:val="left" w:pos="2160" w:leader="none"/>
        <w:tab w:val="left" w:pos="2520" w:leader="none"/>
        <w:tab w:val="left" w:pos="2880" w:leader="none"/>
      </w:tabs>
      <w:ind w:hanging="720" w:start="2160" w:end="0"/>
    </w:pPr>
    <w:rPr>
      <w:b/>
      <w:bCs/>
    </w:rPr>
  </w:style>
  <w:style w:type="paragraph" w:styleId="Pleading1L4">
    <w:name w:val="Pleading1_L4"/>
    <w:basedOn w:val="Pleading1L3"/>
    <w:next w:val="BodyText"/>
    <w:qFormat/>
    <w:pPr>
      <w:ind w:hanging="720" w:start="2880" w:end="0"/>
    </w:pPr>
    <w:rPr/>
  </w:style>
  <w:style w:type="paragraph" w:styleId="Pleading1L5">
    <w:name w:val="Pleading1_L5"/>
    <w:basedOn w:val="Pleading1L4"/>
    <w:next w:val="BodyText"/>
    <w:qFormat/>
    <w:pPr>
      <w:tabs>
        <w:tab w:val="left" w:pos="2160" w:leader="none"/>
        <w:tab w:val="left" w:pos="2520" w:leader="none"/>
        <w:tab w:val="left" w:pos="2880" w:leader="none"/>
        <w:tab w:val="left" w:pos="3600" w:leader="none"/>
      </w:tabs>
      <w:ind w:hanging="720" w:start="3600" w:end="0"/>
    </w:pPr>
    <w:rPr/>
  </w:style>
  <w:style w:type="paragraph" w:styleId="Pleading1L6">
    <w:name w:val="Pleading1_L6"/>
    <w:basedOn w:val="Pleading1L5"/>
    <w:next w:val="BodyText"/>
    <w:qFormat/>
    <w:pPr>
      <w:tabs>
        <w:tab w:val="left" w:pos="2160" w:leader="none"/>
        <w:tab w:val="left" w:pos="2520" w:leader="none"/>
        <w:tab w:val="left" w:pos="2880" w:leader="none"/>
        <w:tab w:val="left" w:pos="3600" w:leader="none"/>
        <w:tab w:val="left" w:pos="4320" w:leader="none"/>
      </w:tabs>
      <w:ind w:hanging="720" w:start="4320" w:end="0"/>
    </w:pPr>
    <w:rPr/>
  </w:style>
  <w:style w:type="paragraph" w:styleId="Pleading1L7">
    <w:name w:val="Pleading1_L7"/>
    <w:basedOn w:val="Pleading1L6"/>
    <w:next w:val="BodyText"/>
    <w:qFormat/>
    <w:pPr>
      <w:tabs>
        <w:tab w:val="left" w:pos="1530" w:leader="none"/>
        <w:tab w:val="left" w:pos="2160" w:leader="none"/>
        <w:tab w:val="left" w:pos="2520" w:leader="none"/>
        <w:tab w:val="left" w:pos="2880" w:leader="none"/>
        <w:tab w:val="left" w:pos="3600" w:leader="none"/>
        <w:tab w:val="left" w:pos="4320" w:leader="none"/>
      </w:tabs>
      <w:ind w:firstLine="720" w:start="720" w:end="0"/>
    </w:pPr>
    <w:rPr/>
  </w:style>
  <w:style w:type="paragraph" w:styleId="Pleading1L8">
    <w:name w:val="Pleading1_L8"/>
    <w:basedOn w:val="Pleading1L7"/>
    <w:next w:val="BodyText"/>
    <w:qFormat/>
    <w:pPr>
      <w:tabs>
        <w:tab w:val="left" w:pos="1530" w:leader="none"/>
        <w:tab w:val="left" w:pos="2160" w:leader="none"/>
        <w:tab w:val="left" w:pos="2520" w:leader="none"/>
        <w:tab w:val="left" w:pos="2880" w:leader="none"/>
        <w:tab w:val="left" w:pos="3600" w:leader="none"/>
        <w:tab w:val="left" w:pos="4320" w:leader="none"/>
        <w:tab w:val="left" w:pos="5760" w:leader="none"/>
      </w:tabs>
      <w:ind w:hanging="720" w:start="5760" w:end="0"/>
    </w:pPr>
    <w:rPr/>
  </w:style>
  <w:style w:type="paragraph" w:styleId="Pleading1L9">
    <w:name w:val="Pleading1_L9"/>
    <w:basedOn w:val="Pleading1L8"/>
    <w:next w:val="BodyText"/>
    <w:qFormat/>
    <w:pPr>
      <w:tabs>
        <w:tab w:val="left" w:pos="1530" w:leader="none"/>
        <w:tab w:val="left" w:pos="2160" w:leader="none"/>
        <w:tab w:val="left" w:pos="2520" w:leader="none"/>
        <w:tab w:val="left" w:pos="2880" w:leader="none"/>
        <w:tab w:val="left" w:pos="3600" w:leader="none"/>
        <w:tab w:val="left" w:pos="4320" w:leader="none"/>
        <w:tab w:val="left" w:pos="5760" w:leader="none"/>
        <w:tab w:val="left" w:pos="6480" w:leader="none"/>
      </w:tabs>
      <w:ind w:hanging="720" w:start="6480" w:end="0"/>
    </w:pPr>
    <w:rPr/>
  </w:style>
  <w:style w:type="paragraph" w:styleId="NoticeAddress">
    <w:name w:val="Notice Address"/>
    <w:basedOn w:val="Normal"/>
    <w:qFormat/>
    <w:pPr>
      <w:tabs>
        <w:tab w:val="clear" w:pos="720"/>
        <w:tab w:val="left" w:pos="3960" w:leader="none"/>
        <w:tab w:val="left" w:pos="4500" w:leader="none"/>
      </w:tabs>
      <w:spacing w:before="240" w:after="0"/>
      <w:ind w:hanging="0" w:start="2880" w:end="0"/>
    </w:pPr>
    <w:rPr/>
  </w:style>
  <w:style w:type="paragraph" w:styleId="BodyTextDoubleIndent">
    <w:name w:val="Body Text Double Indent"/>
    <w:basedOn w:val="BodyText2"/>
    <w:qFormat/>
    <w:pPr>
      <w:spacing w:before="0" w:after="240"/>
      <w:ind w:firstLine="720" w:start="1440" w:end="0"/>
    </w:pPr>
    <w:rPr/>
  </w:style>
  <w:style w:type="paragraph" w:styleId="NoticeAddressHanging">
    <w:name w:val="Notice Address Hanging"/>
    <w:basedOn w:val="BodyText"/>
    <w:qFormat/>
    <w:pPr>
      <w:tabs>
        <w:tab w:val="clear" w:pos="720"/>
        <w:tab w:val="left" w:pos="6210" w:leader="none"/>
      </w:tabs>
      <w:ind w:hanging="3600" w:start="50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2000-11-13T20:48:00Z</dcterms:created>
  <dc:creator>John Holt</dc:creator>
  <dc:description/>
  <dc:language>en-CA</dc:language>
  <cp:lastModifiedBy>LGarner</cp:lastModifiedBy>
  <cp:lastPrinted>2000-11-13T15:08:00Z</cp:lastPrinted>
  <dcterms:modified xsi:type="dcterms:W3CDTF">2000-11-13T20:48:00Z</dcterms:modified>
  <cp:revision>2</cp:revision>
  <dc:subject/>
  <dc:title>EXHIBIT E-12</dc:title>
</cp:coreProperties>
</file>