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40" w:after="60"/>
        <w:jc w:val="center"/>
        <w:rPr/>
      </w:pPr>
      <w:r>
        <w:rPr/>
      </w:r>
    </w:p>
    <w:p>
      <w:pPr>
        <w:pStyle w:val="Heading"/>
        <w:rPr/>
      </w:pPr>
      <w:r>
        <w:rPr/>
      </w:r>
    </w:p>
    <w:p>
      <w:pPr>
        <w:pStyle w:val="Heading"/>
        <w:rPr/>
      </w:pPr>
      <w:r>
        <w:rPr/>
      </w:r>
    </w:p>
    <w:p>
      <w:pPr>
        <w:pStyle w:val="Normal"/>
        <w:jc w:val="center"/>
        <w:rPr>
          <w:b/>
          <w:sz w:val="52"/>
        </w:rPr>
      </w:pPr>
      <w:r>
        <w:rPr>
          <w:b/>
          <w:sz w:val="52"/>
        </w:rPr>
        <w:t>REAL Flow</w:t>
      </w:r>
    </w:p>
    <w:p>
      <w:pPr>
        <w:pStyle w:val="Normal"/>
        <w:jc w:val="center"/>
        <w:rPr>
          <w:b/>
          <w:sz w:val="52"/>
        </w:rPr>
      </w:pPr>
      <w:r>
        <w:rPr>
          <w:b/>
          <w:sz w:val="52"/>
        </w:rPr>
        <w:t>A Preliminary Proposal for a Flow-based Congestion Management System</w:t>
      </w:r>
    </w:p>
    <w:p>
      <w:pPr>
        <w:pStyle w:val="Normal"/>
        <w:jc w:val="center"/>
        <w:rPr>
          <w:b/>
          <w:sz w:val="52"/>
        </w:rPr>
      </w:pPr>
      <w:r>
        <w:rPr>
          <w:b/>
          <w:sz w:val="52"/>
        </w:rPr>
      </w:r>
    </w:p>
    <w:p>
      <w:pPr>
        <w:pStyle w:val="Normal"/>
        <w:jc w:val="center"/>
        <w:rPr>
          <w:b/>
          <w:sz w:val="52"/>
        </w:rPr>
      </w:pPr>
      <w:r>
        <w:rPr>
          <w:b/>
          <w:sz w:val="52"/>
        </w:rPr>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center"/>
        <w:rPr>
          <w:b/>
          <w:sz w:val="52"/>
        </w:rPr>
      </w:pPr>
      <w:r>
        <w:rPr>
          <w:b/>
          <w:sz w:val="52"/>
        </w:rPr>
        <w:t>July 14, 2000</w:t>
      </w:r>
    </w:p>
    <w:p>
      <w:pPr>
        <w:pStyle w:val="Normal"/>
        <w:jc w:val="center"/>
        <w:rPr>
          <w:b/>
          <w:sz w:val="32"/>
        </w:rPr>
      </w:pPr>
      <w:r>
        <w:rPr>
          <w:b/>
          <w:sz w:val="32"/>
        </w:rPr>
        <w:t>Table of Contents</w:t>
      </w:r>
    </w:p>
    <w:p>
      <w:pPr>
        <w:pStyle w:val="Heading"/>
        <w:rPr>
          <w:b w:val="false"/>
          <w:sz w:val="32"/>
        </w:rPr>
      </w:pPr>
      <w:r>
        <w:rPr>
          <w:b w:val="false"/>
          <w:sz w:val="32"/>
        </w:rPr>
      </w:r>
    </w:p>
    <w:sdt>
      <w:sdtPr>
        <w:docPartObj>
          <w:docPartGallery w:val="Table of Contents"/>
          <w:docPartUnique w:val="true"/>
        </w:docPartObj>
      </w:sdtPr>
      <w:sdtContent>
        <w:p>
          <w:pPr>
            <w:pStyle w:val="TOC1"/>
            <w:tabs>
              <w:tab w:val="clear" w:pos="720"/>
              <w:tab w:val="right" w:pos="8630" w:leader="dot"/>
            </w:tabs>
            <w:rPr>
              <w:lang w:val="en-CA"/>
            </w:rPr>
          </w:pPr>
          <w:r>
            <w:fldChar w:fldCharType="begin"/>
          </w:r>
          <w:r>
            <w:rPr>
              <w:lang w:val="en-CA"/>
            </w:rPr>
            <w:instrText xml:space="preserve"> TOC \o "1-2" </w:instrText>
          </w:r>
          <w:r>
            <w:rPr>
              <w:lang w:val="en-CA"/>
            </w:rPr>
            <w:fldChar w:fldCharType="separate"/>
          </w:r>
          <w:r>
            <w:rPr>
              <w:lang w:val="en-CA"/>
            </w:rPr>
            <w:t>EXECUTIVE SUMMARY</w:t>
            <w:tab/>
          </w:r>
          <w:hyperlink w:anchor="__RefHeading___Toc488204477">
            <w:r>
              <w:rPr>
                <w:rStyle w:val="IndexLink"/>
                <w:lang w:val="en-CA"/>
              </w:rPr>
              <w:t>3</w:t>
            </w:r>
          </w:hyperlink>
        </w:p>
        <w:p>
          <w:pPr>
            <w:pStyle w:val="TOC1"/>
            <w:tabs>
              <w:tab w:val="clear" w:pos="720"/>
              <w:tab w:val="left" w:pos="480" w:leader="none"/>
              <w:tab w:val="right" w:pos="8630" w:leader="dot"/>
            </w:tabs>
            <w:rPr>
              <w:lang w:val="en-CA"/>
            </w:rPr>
          </w:pPr>
          <w:r>
            <w:rPr>
              <w:lang w:val="en-CA"/>
            </w:rPr>
            <w:t>I.</w:t>
            <w:tab/>
            <w:t>WHY REAL Flow?</w:t>
            <w:tab/>
          </w:r>
          <w:hyperlink w:anchor="__RefHeading___Toc488204478">
            <w:r>
              <w:rPr>
                <w:rStyle w:val="IndexLink"/>
                <w:lang w:val="en-CA"/>
              </w:rPr>
              <w:t>4</w:t>
            </w:r>
          </w:hyperlink>
        </w:p>
        <w:p>
          <w:pPr>
            <w:pStyle w:val="TOC2"/>
            <w:tabs>
              <w:tab w:val="clear" w:pos="720"/>
              <w:tab w:val="right" w:pos="8630" w:leader="dot"/>
            </w:tabs>
            <w:rPr>
              <w:lang w:val="en-CA"/>
            </w:rPr>
          </w:pPr>
          <w:r>
            <w:rPr>
              <w:lang w:val="en-CA"/>
            </w:rPr>
            <w:t>Goals of a Congestion Management System (CMS)</w:t>
            <w:tab/>
          </w:r>
          <w:hyperlink w:anchor="__RefHeading___Toc488204479">
            <w:r>
              <w:rPr>
                <w:rStyle w:val="IndexLink"/>
                <w:lang w:val="en-CA"/>
              </w:rPr>
              <w:t>4</w:t>
            </w:r>
          </w:hyperlink>
        </w:p>
        <w:p>
          <w:pPr>
            <w:pStyle w:val="TOC2"/>
            <w:tabs>
              <w:tab w:val="clear" w:pos="720"/>
              <w:tab w:val="right" w:pos="8630" w:leader="dot"/>
            </w:tabs>
            <w:rPr>
              <w:lang w:val="en-CA"/>
            </w:rPr>
          </w:pPr>
          <w:r>
            <w:rPr>
              <w:lang w:val="en-CA"/>
            </w:rPr>
            <w:t>Market Development and Congestion Management</w:t>
            <w:tab/>
          </w:r>
          <w:hyperlink w:anchor="__RefHeading___Toc488204480">
            <w:r>
              <w:rPr>
                <w:rStyle w:val="IndexLink"/>
                <w:lang w:val="en-CA"/>
              </w:rPr>
              <w:t>4</w:t>
            </w:r>
          </w:hyperlink>
        </w:p>
        <w:p>
          <w:pPr>
            <w:pStyle w:val="TOC2"/>
            <w:tabs>
              <w:tab w:val="clear" w:pos="720"/>
              <w:tab w:val="right" w:pos="8630" w:leader="dot"/>
            </w:tabs>
            <w:rPr>
              <w:lang w:val="en-CA"/>
            </w:rPr>
          </w:pPr>
          <w:r>
            <w:rPr>
              <w:lang w:val="en-CA"/>
            </w:rPr>
            <w:t>What do customers want?</w:t>
            <w:tab/>
          </w:r>
          <w:hyperlink w:anchor="__RefHeading___Toc488204481">
            <w:r>
              <w:rPr>
                <w:rStyle w:val="IndexLink"/>
                <w:lang w:val="en-CA"/>
              </w:rPr>
              <w:t>5</w:t>
            </w:r>
          </w:hyperlink>
        </w:p>
        <w:p>
          <w:pPr>
            <w:pStyle w:val="TOC2"/>
            <w:tabs>
              <w:tab w:val="clear" w:pos="720"/>
              <w:tab w:val="right" w:pos="8630" w:leader="dot"/>
            </w:tabs>
            <w:rPr>
              <w:lang w:val="en-CA"/>
            </w:rPr>
          </w:pPr>
          <w:r>
            <w:rPr>
              <w:lang w:val="en-CA"/>
            </w:rPr>
            <w:t>Current CM Options</w:t>
            <w:tab/>
          </w:r>
          <w:hyperlink w:anchor="__RefHeading___Toc488204482">
            <w:r>
              <w:rPr>
                <w:rStyle w:val="IndexLink"/>
                <w:lang w:val="en-CA"/>
              </w:rPr>
              <w:t>5</w:t>
            </w:r>
          </w:hyperlink>
        </w:p>
        <w:p>
          <w:pPr>
            <w:pStyle w:val="TOC1"/>
            <w:tabs>
              <w:tab w:val="clear" w:pos="720"/>
              <w:tab w:val="left" w:pos="480" w:leader="none"/>
              <w:tab w:val="right" w:pos="8630" w:leader="dot"/>
            </w:tabs>
            <w:rPr>
              <w:lang w:val="en-CA"/>
            </w:rPr>
          </w:pPr>
          <w:r>
            <w:rPr>
              <w:lang w:val="en-CA"/>
            </w:rPr>
            <w:t>II.</w:t>
            <w:tab/>
            <w:t>The REAL Flow Proposal</w:t>
            <w:tab/>
          </w:r>
          <w:hyperlink w:anchor="__RefHeading___Toc488204483">
            <w:r>
              <w:rPr>
                <w:rStyle w:val="IndexLink"/>
                <w:lang w:val="en-CA"/>
              </w:rPr>
              <w:t>7</w:t>
            </w:r>
          </w:hyperlink>
        </w:p>
        <w:p>
          <w:pPr>
            <w:pStyle w:val="TOC2"/>
            <w:tabs>
              <w:tab w:val="clear" w:pos="720"/>
              <w:tab w:val="right" w:pos="8630" w:leader="dot"/>
            </w:tabs>
            <w:rPr>
              <w:lang w:val="en-CA"/>
            </w:rPr>
          </w:pPr>
          <w:r>
            <w:rPr>
              <w:lang w:val="en-CA"/>
            </w:rPr>
            <w:t>Basic Aspects</w:t>
            <w:tab/>
          </w:r>
          <w:hyperlink w:anchor="__RefHeading___Toc488204484">
            <w:r>
              <w:rPr>
                <w:rStyle w:val="IndexLink"/>
                <w:lang w:val="en-CA"/>
              </w:rPr>
              <w:t>7</w:t>
            </w:r>
          </w:hyperlink>
        </w:p>
        <w:p>
          <w:pPr>
            <w:pStyle w:val="TOC2"/>
            <w:tabs>
              <w:tab w:val="clear" w:pos="720"/>
              <w:tab w:val="right" w:pos="8630" w:leader="dot"/>
            </w:tabs>
            <w:rPr>
              <w:lang w:val="en-CA"/>
            </w:rPr>
          </w:pPr>
          <w:r>
            <w:rPr>
              <w:lang w:val="en-CA"/>
            </w:rPr>
            <w:t>Implementation</w:t>
            <w:tab/>
          </w:r>
          <w:hyperlink w:anchor="__RefHeading___Toc488204485">
            <w:r>
              <w:rPr>
                <w:rStyle w:val="IndexLink"/>
                <w:lang w:val="en-CA"/>
              </w:rPr>
              <w:t>11</w:t>
            </w:r>
          </w:hyperlink>
        </w:p>
        <w:p>
          <w:pPr>
            <w:pStyle w:val="TOC2"/>
            <w:tabs>
              <w:tab w:val="clear" w:pos="720"/>
              <w:tab w:val="right" w:pos="8630" w:leader="dot"/>
            </w:tabs>
            <w:rPr>
              <w:lang w:val="en-CA"/>
            </w:rPr>
          </w:pPr>
          <w:r>
            <w:rPr>
              <w:lang w:val="en-CA"/>
            </w:rPr>
            <w:t>A Day in the Life: How the system is operated</w:t>
            <w:tab/>
          </w:r>
          <w:hyperlink w:anchor="__RefHeading___Toc488204486">
            <w:r>
              <w:rPr>
                <w:rStyle w:val="IndexLink"/>
                <w:lang w:val="en-CA"/>
              </w:rPr>
              <w:t>16</w:t>
            </w:r>
          </w:hyperlink>
        </w:p>
        <w:p>
          <w:pPr>
            <w:pStyle w:val="TOC2"/>
            <w:tabs>
              <w:tab w:val="clear" w:pos="720"/>
              <w:tab w:val="right" w:pos="8630" w:leader="dot"/>
            </w:tabs>
            <w:rPr>
              <w:lang w:val="en-CA"/>
            </w:rPr>
          </w:pPr>
          <w:r>
            <w:rPr>
              <w:lang w:val="en-CA"/>
            </w:rPr>
            <w:t>Future Market Developments</w:t>
            <w:tab/>
          </w:r>
          <w:hyperlink w:anchor="__RefHeading___Toc488204487">
            <w:r>
              <w:rPr>
                <w:rStyle w:val="IndexLink"/>
                <w:lang w:val="en-CA"/>
              </w:rPr>
              <w:t>20</w:t>
            </w:r>
          </w:hyperlink>
        </w:p>
        <w:p>
          <w:pPr>
            <w:pStyle w:val="TOC1"/>
            <w:tabs>
              <w:tab w:val="clear" w:pos="720"/>
              <w:tab w:val="left" w:pos="480" w:leader="none"/>
              <w:tab w:val="right" w:pos="8630" w:leader="dot"/>
            </w:tabs>
            <w:rPr>
              <w:lang w:val="en-CA"/>
            </w:rPr>
          </w:pPr>
          <w:r>
            <w:rPr>
              <w:lang w:val="en-CA"/>
            </w:rPr>
            <w:t>III.</w:t>
            <w:tab/>
            <w:t>Comparison of REAL Flow and LMP</w:t>
            <w:tab/>
          </w:r>
          <w:hyperlink w:anchor="__RefHeading___Toc488204488">
            <w:r>
              <w:rPr>
                <w:rStyle w:val="IndexLink"/>
                <w:lang w:val="en-CA"/>
              </w:rPr>
              <w:t>22</w:t>
            </w:r>
          </w:hyperlink>
          <w:r>
            <w:rPr>
              <w:rStyle w:val="IndexLink"/>
              <w:lang w:val="en-CA"/>
            </w:rPr>
            <w:fldChar w:fldCharType="end"/>
          </w:r>
        </w:p>
      </w:sdtContent>
    </w:sdt>
    <w:p>
      <w:pPr>
        <w:pStyle w:val="Heading"/>
        <w:numPr>
          <w:ilvl w:val="0"/>
          <w:numId w:val="0"/>
        </w:numPr>
        <w:rPr>
          <w:lang w:val="en-CA"/>
        </w:rPr>
      </w:pPr>
      <w:r>
        <w:rPr>
          <w:lang w:val="en-CA"/>
        </w:rPr>
      </w:r>
      <w:r>
        <w:br w:type="page"/>
      </w:r>
    </w:p>
    <w:p>
      <w:pPr>
        <w:pStyle w:val="Heading"/>
        <w:rPr/>
      </w:pPr>
      <w:bookmarkStart w:id="0" w:name="__RefHeading___Toc488204477"/>
      <w:bookmarkEnd w:id="0"/>
      <w:r>
        <w:rPr/>
        <w:t>EXECUTIVE SUMMARY</w:t>
      </w:r>
    </w:p>
    <w:p>
      <w:pPr>
        <w:pStyle w:val="Normal"/>
        <w:rPr/>
      </w:pPr>
      <w:r>
        <w:rPr/>
      </w:r>
    </w:p>
    <w:p>
      <w:pPr>
        <w:pStyle w:val="Normal"/>
        <w:rPr/>
      </w:pPr>
      <w:r>
        <w:rPr/>
        <w:t>This proposal presents the fundamental concepts of a new, flow-based congestion management system (CMS), REAL Flow. This CMS establishes a market for physical transmission property rights (PTRs) that internalizes the physics of the electric grid into market design. The purpose of this CMS is to develop a market for transmission capacity that will foster liquid, competitive wholesale and retail markets and provide locational pricing signals for efficient expansion of the grid.  The CMS is additionally designed to preserve the existing control area infrastructure in loose pools and institute an RTO that will coordinate the reliable operation of the grid, but play a minimal role in market operations. This CMS can also be scaled to operate seamlessly in multiple RTOs across the Eastern Interconnection.</w:t>
      </w:r>
    </w:p>
    <w:p>
      <w:pPr>
        <w:pStyle w:val="Normal"/>
        <w:rPr/>
      </w:pPr>
      <w:r>
        <w:rPr/>
      </w:r>
    </w:p>
    <w:p>
      <w:pPr>
        <w:pStyle w:val="Normal"/>
        <w:rPr/>
      </w:pPr>
      <w:r>
        <w:rPr/>
        <w:t>The premise of this CMS is that congestion can be managed in forward markets without RTO intervention. This is accomplished by selecting a set of commercially significant flowgates (CSFs), whose capacities market participants purchase and trade in the form of physical transmission rights (PTRs). Participants trading energy are required to purchase PTRs based on the flow impacts of their transactions on the CSFs. This aligns market activity with the physics of the grid. In addition, market participants are required to submit balanced schedules a day ahead of their use. This market design ensures that in the absence of unforeseen system changes congestion will be managed by market participants themselves.</w:t>
      </w:r>
    </w:p>
    <w:p>
      <w:pPr>
        <w:pStyle w:val="Normal"/>
        <w:rPr/>
      </w:pPr>
      <w:r>
        <w:rPr/>
      </w:r>
    </w:p>
    <w:p>
      <w:pPr>
        <w:pStyle w:val="Normal"/>
        <w:rPr/>
      </w:pPr>
      <w:r>
        <w:rPr/>
        <w:t xml:space="preserve">Commercial entities will operate exchanges for energy, transmission and ancillary services, much like the stock exchange, where market participants will trade. The RTO will continuously exchange information with the exchanges to ensure products traded align with the physical system. </w:t>
      </w:r>
    </w:p>
    <w:p>
      <w:pPr>
        <w:pStyle w:val="Normal"/>
        <w:rPr/>
      </w:pPr>
      <w:r>
        <w:rPr/>
      </w:r>
    </w:p>
    <w:p>
      <w:pPr>
        <w:pStyle w:val="Normal"/>
        <w:rPr/>
      </w:pPr>
      <w:r>
        <w:rPr/>
        <w:t xml:space="preserve">The RTO will accept schedules when the markets close and perform a coordinated dispatch with control areas. The RTO will operate a real-time balancing market, in which it will develop imbalance prices on a locational basis using ancillary service and balancing energy bids submitted by market participants. </w:t>
      </w:r>
    </w:p>
    <w:p>
      <w:pPr>
        <w:pStyle w:val="Normal"/>
        <w:rPr/>
      </w:pPr>
      <w:r>
        <w:rPr/>
      </w:r>
    </w:p>
    <w:p>
      <w:pPr>
        <w:pStyle w:val="Normal"/>
        <w:rPr/>
      </w:pPr>
      <w:r>
        <w:rPr/>
        <w:t>The following sections describe the design of REAL Flow, basic implementation details, and the advantages of REAL Flow over other approaches. Section I describes the objectives of market-based congestion management and the impacts of CMS's on wholesale market development. Section II discusses the design of REAL Flow. Section III presents the key differences between REAL Flow and the nodal, or location-based marginal pricing (LMP), approach in terms of methodology and the objectives of congestion management.</w:t>
      </w:r>
      <w:r>
        <w:br w:type="page"/>
      </w:r>
    </w:p>
    <w:p>
      <w:pPr>
        <w:pStyle w:val="Heading1"/>
        <w:ind w:hanging="0" w:start="0"/>
        <w:rPr/>
      </w:pPr>
      <w:bookmarkStart w:id="1" w:name="__RefHeading___Toc488204478"/>
      <w:r>
        <w:rPr/>
        <w:t>WHY REAL Flow?</w:t>
      </w:r>
      <w:bookmarkEnd w:id="1"/>
      <w:r>
        <w:rPr/>
        <w:tab/>
      </w:r>
    </w:p>
    <w:p>
      <w:pPr>
        <w:pStyle w:val="Heading2"/>
        <w:rPr/>
      </w:pPr>
      <w:bookmarkStart w:id="2" w:name="__RefHeading___Toc488204479"/>
      <w:bookmarkEnd w:id="2"/>
      <w:r>
        <w:rPr/>
        <w:t>Goals of a Congestion Management System (CMS)</w:t>
      </w:r>
    </w:p>
    <w:p>
      <w:pPr>
        <w:pStyle w:val="Normal"/>
        <w:rPr/>
      </w:pPr>
      <w:r>
        <w:rPr/>
        <w:t>Congestion reflects the scarcity of transmission resources in a grid. A congestion management scheme has several purposes. In the immediate term, transmission flows need to adjust to protect the integrity and safety of the transmission system. This requires a viable operational plan in anticipation of such occurrences, with clear rules for their observance. As with any scarce resource, the market seeks to achieve the following short-term objectives:</w:t>
      </w:r>
    </w:p>
    <w:p>
      <w:pPr>
        <w:pStyle w:val="Normal"/>
        <w:numPr>
          <w:ilvl w:val="0"/>
          <w:numId w:val="15"/>
        </w:numPr>
        <w:rPr/>
      </w:pPr>
      <w:r>
        <w:rPr/>
        <w:t>Allocate the scarce resource to users who value the resource most;</w:t>
      </w:r>
    </w:p>
    <w:p>
      <w:pPr>
        <w:pStyle w:val="Normal"/>
        <w:numPr>
          <w:ilvl w:val="0"/>
          <w:numId w:val="15"/>
        </w:numPr>
        <w:rPr/>
      </w:pPr>
      <w:r>
        <w:rPr/>
        <w:t>Allow transmission users to express their full value of a resource.</w:t>
      </w:r>
    </w:p>
    <w:p>
      <w:pPr>
        <w:pStyle w:val="Normal"/>
        <w:rPr/>
      </w:pPr>
      <w:r>
        <w:rPr/>
      </w:r>
    </w:p>
    <w:p>
      <w:pPr>
        <w:pStyle w:val="Normal"/>
        <w:ind w:firstLine="360" w:end="0"/>
        <w:rPr/>
      </w:pPr>
      <w:r>
        <w:rPr/>
        <w:t>In the longer term, if scarcity persists, the market should provide incentives to build the least expensive generation/transmission in the right place to alleviate the scarcity.</w:t>
      </w:r>
    </w:p>
    <w:p>
      <w:pPr>
        <w:pStyle w:val="Normal"/>
        <w:ind w:firstLine="360" w:end="0"/>
        <w:rPr/>
      </w:pPr>
      <w:r>
        <w:rPr/>
      </w:r>
    </w:p>
    <w:p>
      <w:pPr>
        <w:pStyle w:val="Normal"/>
        <w:rPr/>
      </w:pPr>
      <w:r>
        <w:rPr/>
        <w:t xml:space="preserve">Finally, any new CMS would need to be implementable within the design objectives of a Regional Transmission Organization (RTO), including cost-effectiveness, timing, and efficiency. Thus, the administrative costs of instituting and operating markets need to be considered, since they can be a non-trivial component of total costs. </w:t>
      </w:r>
    </w:p>
    <w:p>
      <w:pPr>
        <w:pStyle w:val="Heading2"/>
        <w:rPr/>
      </w:pPr>
      <w:bookmarkStart w:id="3" w:name="__RefHeading___Toc488204480"/>
      <w:bookmarkEnd w:id="3"/>
      <w:r>
        <w:rPr/>
        <w:t>Market Development and Congestion Management</w:t>
      </w:r>
    </w:p>
    <w:p>
      <w:pPr>
        <w:pStyle w:val="Normal"/>
        <w:rPr/>
      </w:pPr>
      <w:r>
        <w:rPr/>
        <w:t xml:space="preserve">Clearly, the market has the overarching objective of reducing total costs to serve consumers in the long run, including the long-term costs of operating and expanding the physical grid to support load and future load growth. Since the CMS impacts price signals, it is inherently tied to the markets for wholesale energy and transmission capacity. As such, the choice of any CMS will have impacts on the objectives and aspects of market function other than the direct congestion management objectives of pricing scarce resources: </w:t>
      </w:r>
    </w:p>
    <w:p>
      <w:pPr>
        <w:pStyle w:val="Normal"/>
        <w:numPr>
          <w:ilvl w:val="0"/>
          <w:numId w:val="5"/>
        </w:numPr>
        <w:rPr/>
      </w:pPr>
      <w:r>
        <w:rPr/>
        <w:t xml:space="preserve">All the CM options will change, to different degrees and in different ways, the characteristics of the bilateral trading, because of the introduction of locational price differences. Bilateral trading is an integral and vital component of any well-functioning commodity market. It is critical that any new CM scheme in practice should allow a bilateral market to thrive. </w:t>
      </w:r>
    </w:p>
    <w:p>
      <w:pPr>
        <w:pStyle w:val="Normal"/>
        <w:rPr/>
      </w:pPr>
      <w:r>
        <w:rPr/>
      </w:r>
    </w:p>
    <w:p>
      <w:pPr>
        <w:pStyle w:val="Normal"/>
        <w:numPr>
          <w:ilvl w:val="0"/>
          <w:numId w:val="5"/>
        </w:numPr>
        <w:rPr/>
      </w:pPr>
      <w:r>
        <w:rPr/>
        <w:t xml:space="preserve">Retail competition is an inevitable next step in most parts of the country, and particularly in the Southwest Power Pool, where participants have committed to this direction of market development. Thus, a new CM scheme needs not only to anticipate and plan for changes that may result from retail competition in its design, but also ensure that the resulting system is </w:t>
      </w:r>
      <w:r>
        <w:rPr>
          <w:i/>
        </w:rPr>
        <w:t>simple and practicable</w:t>
      </w:r>
      <w:r>
        <w:rPr/>
        <w:t xml:space="preserve"> enough to permit full-scale retail choice. Retail competition by definition will demand increased trading, since it will introduce a new set of buyers to the market, a large number of which will lack sophistication. Thus, in addition to simplicity, </w:t>
      </w:r>
      <w:r>
        <w:rPr>
          <w:i/>
        </w:rPr>
        <w:t>price certainty</w:t>
      </w:r>
      <w:r>
        <w:rPr/>
        <w:t xml:space="preserve"> (and therefore reduced market risk) will also benefit the development of retail choice.</w:t>
      </w:r>
    </w:p>
    <w:p>
      <w:pPr>
        <w:pStyle w:val="Normal"/>
        <w:numPr>
          <w:ilvl w:val="0"/>
          <w:numId w:val="5"/>
        </w:numPr>
        <w:rPr/>
      </w:pPr>
      <w:r>
        <w:rPr/>
        <w:t>Economic efficiency considerations always need to be checked by considerations of social equity. CM schemes may internalize some equity considerations, such as allocating congestion costs to the users of scarce resources, rather than to all consumers. However, other less obvious equity considerations also arise with locational CM schemes. For example, prices in locational CM schemes are designed to reflect properties of the physical grid. Requiring consumers to pay different prices due to grid properties that are independent of their usage patterns or out of their control may not be equitable.</w:t>
      </w:r>
    </w:p>
    <w:p>
      <w:pPr>
        <w:pStyle w:val="Heading2"/>
        <w:rPr/>
      </w:pPr>
      <w:bookmarkStart w:id="4" w:name="__RefHeading___Toc488204481"/>
      <w:r>
        <w:rPr/>
        <w:t>What do customers want?</w:t>
      </w:r>
      <w:bookmarkEnd w:id="4"/>
      <w:r>
        <w:rPr/>
        <w:t xml:space="preserve"> </w:t>
      </w:r>
    </w:p>
    <w:p>
      <w:pPr>
        <w:pStyle w:val="Normal"/>
        <w:rPr>
          <w:b/>
        </w:rPr>
      </w:pPr>
      <w:r>
        <w:rPr/>
        <w:t xml:space="preserve">Since wholesale, and eventually retail, consumers are the ultimate beneficiaries, the design of a CMS should incorporate their preferences. Mostly, these coincide with the goals above. </w:t>
      </w:r>
    </w:p>
    <w:p>
      <w:pPr>
        <w:pStyle w:val="Normal"/>
        <w:numPr>
          <w:ilvl w:val="0"/>
          <w:numId w:val="7"/>
        </w:numPr>
        <w:rPr/>
      </w:pPr>
      <w:r>
        <w:rPr/>
        <w:t>Flexibility</w:t>
      </w:r>
    </w:p>
    <w:p>
      <w:pPr>
        <w:pStyle w:val="Normal"/>
        <w:numPr>
          <w:ilvl w:val="0"/>
          <w:numId w:val="11"/>
        </w:numPr>
        <w:tabs>
          <w:tab w:val="clear" w:pos="720"/>
          <w:tab w:val="left" w:pos="1440" w:leader="none"/>
        </w:tabs>
        <w:rPr/>
      </w:pPr>
      <w:r>
        <w:rPr/>
        <w:t>Delivery Certainty</w:t>
      </w:r>
    </w:p>
    <w:p>
      <w:pPr>
        <w:pStyle w:val="Normal"/>
        <w:numPr>
          <w:ilvl w:val="0"/>
          <w:numId w:val="11"/>
        </w:numPr>
        <w:tabs>
          <w:tab w:val="clear" w:pos="720"/>
          <w:tab w:val="left" w:pos="1440" w:leader="none"/>
        </w:tabs>
        <w:rPr/>
      </w:pPr>
      <w:r>
        <w:rPr/>
        <w:t>Price certainty</w:t>
      </w:r>
    </w:p>
    <w:p>
      <w:pPr>
        <w:pStyle w:val="Normal"/>
        <w:numPr>
          <w:ilvl w:val="0"/>
          <w:numId w:val="11"/>
        </w:numPr>
        <w:tabs>
          <w:tab w:val="clear" w:pos="720"/>
          <w:tab w:val="left" w:pos="1440" w:leader="none"/>
        </w:tabs>
        <w:rPr/>
      </w:pPr>
      <w:r>
        <w:rPr/>
        <w:t>Simplicity – seams are much easier to manage with flow-based method than LMP– explain how</w:t>
      </w:r>
    </w:p>
    <w:p>
      <w:pPr>
        <w:pStyle w:val="Normal"/>
        <w:numPr>
          <w:ilvl w:val="0"/>
          <w:numId w:val="11"/>
        </w:numPr>
        <w:tabs>
          <w:tab w:val="clear" w:pos="720"/>
          <w:tab w:val="left" w:pos="1440" w:leader="none"/>
        </w:tabs>
        <w:rPr/>
      </w:pPr>
      <w:r>
        <w:rPr/>
        <w:t>Low delivery price – includes cost of system (software)</w:t>
      </w:r>
    </w:p>
    <w:p>
      <w:pPr>
        <w:pStyle w:val="Normal"/>
        <w:numPr>
          <w:ilvl w:val="0"/>
          <w:numId w:val="7"/>
        </w:numPr>
        <w:tabs>
          <w:tab w:val="clear" w:pos="720"/>
          <w:tab w:val="left" w:pos="1440" w:leader="none"/>
        </w:tabs>
        <w:rPr/>
      </w:pPr>
      <w:r>
        <w:rPr/>
        <w:t>Elimination of Transmission Loading Relief ("TLRs") except in emergencies</w:t>
      </w:r>
    </w:p>
    <w:p>
      <w:pPr>
        <w:pStyle w:val="Heading2"/>
        <w:rPr/>
      </w:pPr>
      <w:bookmarkStart w:id="5" w:name="__RefHeading___Toc488204482"/>
      <w:bookmarkEnd w:id="5"/>
      <w:r>
        <w:rPr/>
        <w:t>Current CM Options</w:t>
      </w:r>
    </w:p>
    <w:p>
      <w:pPr>
        <w:pStyle w:val="BodyTextFirstIndent"/>
        <w:spacing w:before="0" w:after="0"/>
        <w:ind w:hanging="0" w:end="0"/>
        <w:rPr/>
      </w:pPr>
      <w:r>
        <w:rPr/>
        <w:t>Transmission capacity is sold based on contract paths pursuant to the rules of Order No. 888 and Order No. 889. Congestion management is currently handled primarily through TLR procedures. The drawbacks with the current method of congestion management is twofold:  (a) TLR procedures handle excess demand for scarce resources through a quantity rationing process, rather than a market or price rationing process, where users are not allowed to express the value of a transaction over a scarce resource; and (b) contract path-based trade ignores the physical realities of power flow, and does not efficiently prevent congestion in forward markets, sometimes even causing congestion due to loop flows. As such, market participants have little certainty of delivery.</w:t>
      </w:r>
    </w:p>
    <w:p>
      <w:pPr>
        <w:pStyle w:val="BodyTextFirstIndent"/>
        <w:spacing w:before="0" w:after="0"/>
        <w:rPr/>
      </w:pPr>
      <w:r>
        <w:rPr/>
      </w:r>
    </w:p>
    <w:p>
      <w:pPr>
        <w:pStyle w:val="Normal"/>
        <w:rPr/>
      </w:pPr>
      <w:r>
        <w:rPr/>
        <w:t>The current method has been widely recognized as economically inefficient. The following market-based, locational CM options have been proposed and implemented in different markets across the US and in other countries (See Section III for a detailed comparison of these systems):</w:t>
      </w:r>
    </w:p>
    <w:p>
      <w:pPr>
        <w:pStyle w:val="Normal"/>
        <w:rPr/>
      </w:pPr>
      <w:r>
        <w:rPr/>
      </w:r>
    </w:p>
    <w:p>
      <w:pPr>
        <w:pStyle w:val="Normal"/>
        <w:numPr>
          <w:ilvl w:val="0"/>
          <w:numId w:val="2"/>
        </w:numPr>
        <w:tabs>
          <w:tab w:val="clear" w:pos="720"/>
          <w:tab w:val="left" w:pos="1800" w:leader="none"/>
        </w:tabs>
        <w:rPr/>
      </w:pPr>
      <w:r>
        <w:rPr/>
        <w:t>Nodal Pricing or Location-based Marginal Pricing (LMP) – this method resolves congestion by pricing energy at every node on the system based on the marginal cost of energy at that node. Market participants bid into a centralized pool at distinct time increments (day-ahead, hour-ahead), and the RTO calculates these nodal prices based on an optimal power flow model that takes as inputs participant bids and the state of the transmission system. Participants may hedge their congestion risk by purchasing financial transmission rights (FTRs) between any two points on within the RTO's system. Prices are calculated ex-post, so that participants have no knowledge of their transaction value until 'after-the-fact'.  LMP has been implemented in New York, PJM, is under development in NEPOOL and has also been implemented in Argentina, Chile, Peru and other countries. The key drawbacks associated with this system are its complexity, the lack of price certainty, high cost, and low liquidity in the forward market.</w:t>
      </w:r>
    </w:p>
    <w:p>
      <w:pPr>
        <w:pStyle w:val="Normal"/>
        <w:tabs>
          <w:tab w:val="clear" w:pos="720"/>
          <w:tab w:val="left" w:pos="1800" w:leader="none"/>
        </w:tabs>
        <w:rPr/>
      </w:pPr>
      <w:r>
        <w:rPr/>
      </w:r>
    </w:p>
    <w:p>
      <w:pPr>
        <w:pStyle w:val="Normal"/>
        <w:numPr>
          <w:ilvl w:val="0"/>
          <w:numId w:val="2"/>
        </w:numPr>
        <w:tabs>
          <w:tab w:val="clear" w:pos="720"/>
          <w:tab w:val="left" w:pos="1800" w:leader="none"/>
        </w:tabs>
        <w:rPr/>
      </w:pPr>
      <w:r>
        <w:rPr/>
        <w:t>Zonal Pricing – This model is most appropriate for radial systems, which do not exhibit significant loop flows. It is characterized by physical property rights defined for select interfaces between zones and aggregate locational prices within zones. Dispatch may or may not be centralized. In the presence of loop flows, this approach requires hybridization with the flow-based approach described below. A variation of this model has been implemented in California, and proposed in the Mountain West ISA. This approach involves some approximations in overlaying a simple commercial model over the physical system. This results in some intra-zonal congestion being passed as an uplift to customers.</w:t>
      </w:r>
    </w:p>
    <w:p>
      <w:pPr>
        <w:pStyle w:val="Normal"/>
        <w:tabs>
          <w:tab w:val="clear" w:pos="720"/>
          <w:tab w:val="left" w:pos="1800" w:leader="none"/>
        </w:tabs>
        <w:rPr/>
      </w:pPr>
      <w:r>
        <w:rPr/>
      </w:r>
    </w:p>
    <w:p>
      <w:pPr>
        <w:pStyle w:val="Normal"/>
        <w:numPr>
          <w:ilvl w:val="0"/>
          <w:numId w:val="2"/>
        </w:numPr>
        <w:tabs>
          <w:tab w:val="clear" w:pos="720"/>
          <w:tab w:val="left" w:pos="1800" w:leader="none"/>
        </w:tabs>
        <w:rPr/>
      </w:pPr>
      <w:r>
        <w:rPr/>
        <w:t xml:space="preserve">Flow-based/Zonal - The premise of this approach is that congestion can be managed in forward markets without RTO intervention. This is accomplished by selecting a set of commercially significant flowgates (CSFs), whose capacities market participants purchase and trade in the form of physical transmission rights (PTRs). The RTO runs a real-time balancing market and coordinates dispatch with control areas. The RTO is divided into zones based on a clustering of nodes that have similar flow impacts on the CSFs. The RTO calculates zonal prices in the balancing market. These zones provide price simplicity to market participants. This approach has been proposed in the Northwest RTO and Desert Start in the west. </w:t>
      </w:r>
    </w:p>
    <w:p>
      <w:pPr>
        <w:pStyle w:val="Normal"/>
        <w:tabs>
          <w:tab w:val="clear" w:pos="720"/>
          <w:tab w:val="left" w:pos="1800" w:leader="none"/>
        </w:tabs>
        <w:rPr/>
      </w:pPr>
      <w:r>
        <w:rPr/>
      </w:r>
    </w:p>
    <w:p>
      <w:pPr>
        <w:pStyle w:val="Normal"/>
        <w:tabs>
          <w:tab w:val="clear" w:pos="720"/>
          <w:tab w:val="left" w:pos="1800" w:leader="none"/>
        </w:tabs>
        <w:rPr>
          <w:b/>
        </w:rPr>
      </w:pPr>
      <w:r>
        <w:rPr>
          <w:b/>
        </w:rPr>
      </w:r>
    </w:p>
    <w:p>
      <w:pPr>
        <w:pStyle w:val="EndnoteText"/>
        <w:tabs>
          <w:tab w:val="clear" w:pos="720"/>
          <w:tab w:val="left" w:pos="1440" w:leader="none"/>
        </w:tabs>
        <w:rPr/>
      </w:pPr>
      <w:r>
        <w:rPr/>
        <w:t>REAL Flow is a new flow-based CMS that caters specifically to larger, 'loose' pools with multiple control areas. It is principally based on the establishment of physical, tradable property rights, minimal RTO involvement in markets, and the preservation of existing control areas. The following sections discuss in more detail the methodology and design of this CMS.</w:t>
      </w:r>
    </w:p>
    <w:p>
      <w:pPr>
        <w:pStyle w:val="Normal"/>
        <w:rPr/>
      </w:pPr>
      <w:r>
        <w:rPr/>
      </w:r>
      <w:r>
        <w:br w:type="page"/>
      </w:r>
    </w:p>
    <w:p>
      <w:pPr>
        <w:pStyle w:val="Heading1"/>
        <w:ind w:hanging="0" w:start="0"/>
        <w:rPr/>
      </w:pPr>
      <w:bookmarkStart w:id="6" w:name="__RefHeading___Toc488204483"/>
      <w:bookmarkEnd w:id="6"/>
      <w:r>
        <w:rPr/>
        <w:t>The REAL Flow Proposal</w:t>
      </w:r>
    </w:p>
    <w:p>
      <w:pPr>
        <w:pStyle w:val="Normal"/>
        <w:rPr/>
      </w:pPr>
      <w:r>
        <w:rPr/>
      </w:r>
    </w:p>
    <w:p>
      <w:pPr>
        <w:pStyle w:val="Normal"/>
        <w:rPr/>
      </w:pPr>
      <w:r>
        <w:rPr/>
        <w:t>This section describes the fundamental aspects of REAL Flow and as well as an overview of the implementation. The first part describes the basic aspects of the proposal, including transmission property rights, forward markets, the role of the RTO, and the real-time market. The next part discusses further implementation details of the above aspects.</w:t>
      </w:r>
    </w:p>
    <w:p>
      <w:pPr>
        <w:pStyle w:val="Normal"/>
        <w:rPr/>
      </w:pPr>
      <w:r>
        <w:rPr/>
      </w:r>
    </w:p>
    <w:p>
      <w:pPr>
        <w:pStyle w:val="Normal"/>
        <w:rPr/>
      </w:pPr>
      <w:r>
        <w:rPr/>
        <w:t>The institutional and market structure can be described as shown in Figure 1. Market participants trade energy, transmission, ancillary services and balancing energy in commercially run forward exchanges that operate on a continuous basis. Congestion is self-managed in the forward market by virtue of the characteristics of physical transmission rights (PTR) which limit the quantity of rights initially auctioned. The RTO constantly exchanges information with the market. The forward markets close an hour-ahead, at which time the RTO accepts final schedules from the exchanges and market participants and coordinates with the control areas to balance energy and preserve the reliability of the system. The RTO therefore has no role in forward markets beyond the exchange of information.</w:t>
      </w:r>
    </w:p>
    <w:p>
      <w:pPr>
        <w:pStyle w:val="Normal"/>
        <w:rPr/>
      </w:pPr>
      <w:r>
        <w:rPr/>
      </w:r>
    </w:p>
    <w:p>
      <w:pPr>
        <w:pStyle w:val="Normal"/>
        <w:jc w:val="center"/>
        <w:rPr>
          <w:rFonts w:ascii="Arial" w:hAnsi="Arial" w:cs="Arial"/>
          <w:sz w:val="20"/>
        </w:rPr>
      </w:pPr>
      <w:r>
        <w:rPr>
          <w:rFonts w:cs="Arial" w:ascii="Arial" w:hAnsi="Arial"/>
          <w:sz w:val="20"/>
        </w:rPr>
        <w:t>Figure 1: REAL Flow Market Structure</w:t>
      </w:r>
    </w:p>
    <w:p>
      <w:pPr>
        <w:pStyle w:val="Normal"/>
        <w:rPr>
          <w:rFonts w:ascii="Arial" w:hAnsi="Arial" w:cs="Arial"/>
          <w:sz w:val="28"/>
        </w:rPr>
      </w:pPr>
      <w:r>
        <w:rPr>
          <w:rFonts w:cs="Arial" w:ascii="Arial" w:hAnsi="Arial"/>
          <w:sz w:val="28"/>
        </w:rPr>
        <w:drawing>
          <wp:anchor behindDoc="0" distT="0" distB="0" distL="114935" distR="114935" simplePos="0" locked="0" layoutInCell="0" allowOverlap="1" relativeHeight="10">
            <wp:simplePos x="0" y="0"/>
            <wp:positionH relativeFrom="column">
              <wp:posOffset>280035</wp:posOffset>
            </wp:positionH>
            <wp:positionV relativeFrom="paragraph">
              <wp:posOffset>200660</wp:posOffset>
            </wp:positionV>
            <wp:extent cx="4686300" cy="241744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3"/>
                    <a:srcRect l="-5" t="-9" r="-5" b="-9"/>
                    <a:stretch>
                      <a:fillRect/>
                    </a:stretch>
                  </pic:blipFill>
                  <pic:spPr bwMode="auto">
                    <a:xfrm>
                      <a:off x="0" y="0"/>
                      <a:ext cx="4686300" cy="2417445"/>
                    </a:xfrm>
                    <a:prstGeom prst="rect">
                      <a:avLst/>
                    </a:prstGeom>
                    <a:noFill/>
                  </pic:spPr>
                </pic:pic>
              </a:graphicData>
            </a:graphic>
          </wp:anchor>
        </w:drawing>
      </w:r>
    </w:p>
    <w:p>
      <w:pPr>
        <w:pStyle w:val="Heading2"/>
        <w:rPr>
          <w:i w:val="false"/>
          <w:i w:val="false"/>
        </w:rPr>
      </w:pPr>
      <w:r>
        <w:rPr>
          <w:i w:val="false"/>
        </w:rPr>
      </w:r>
    </w:p>
    <w:p>
      <w:pPr>
        <w:pStyle w:val="Heading2"/>
        <w:rPr/>
      </w:pPr>
      <w:bookmarkStart w:id="7" w:name="__RefHeading___Toc488204484"/>
      <w:bookmarkEnd w:id="7"/>
      <w:r>
        <w:rPr/>
        <w:t>Basic Aspects</w:t>
      </w:r>
    </w:p>
    <w:p>
      <w:pPr>
        <w:pStyle w:val="Heading3"/>
        <w:rPr/>
      </w:pPr>
      <w:r>
        <w:rPr/>
        <w:t>Transmission Property Rights</w:t>
      </w:r>
    </w:p>
    <w:p>
      <w:pPr>
        <w:pStyle w:val="Normal"/>
        <w:rPr/>
      </w:pPr>
      <w:r>
        <w:rPr/>
        <w:t>Any CMS has to define tradable transmission rights. These provide a means of delivery certainty to market participants and protect them from congestion. REAL Flow defines physical, tradable transmission rights (PTRs). These rights will be defined for a finite set of flowgates within and on the seams of an RTO, which will be selected during the design of the CMS and reevaluated before each primary auction. PTRs give their purchaser / owner the right to a fixed quantity (MW) of transfer capability across a flowgate for all hours within a specific period.  Participants in the market are thus able to secure PTRs of known quality and price ex ante. Their physical aspect gives market participants certainty for scheduling transactions.  However, holders of PTRs will not have the ability to withhold those rights with a view towards influencing market prices.  If a holder of a PTR has not scheduled transmission for the full quantity at a pre specified time prior to real-time, the RTO will recall and resell unscheduled transfer capability to other customers.</w:t>
      </w:r>
    </w:p>
    <w:p>
      <w:pPr>
        <w:pStyle w:val="Normal"/>
        <w:rPr/>
      </w:pPr>
      <w:r>
        <w:rPr/>
      </w:r>
    </w:p>
    <w:p>
      <w:pPr>
        <w:pStyle w:val="Normal"/>
        <w:rPr>
          <w:u w:val="single"/>
        </w:rPr>
      </w:pPr>
      <w:r>
        <w:rPr>
          <w:u w:val="single"/>
        </w:rPr>
        <w:t>PTR Markets</w:t>
      </w:r>
    </w:p>
    <w:p>
      <w:pPr>
        <w:pStyle w:val="Normal"/>
        <w:ind w:firstLine="720" w:end="0"/>
        <w:rPr/>
      </w:pPr>
      <w:r>
        <w:rPr/>
        <w:t>PTR markets will have a well-defined set of PTRs traded continuously, and therefore market participants will have a highly liquid and unconstrained market in which to trade PTRs. By contrast, financial transmission rights (FTRs) do not provide the same level of liquidity because the products are more numerous.  Further, the link between the financial market and physical outcome is derived too close to real-time, such that the financial market, leaving aside its illiquidity, is seldom a good projection of physical outcomes.</w:t>
      </w:r>
    </w:p>
    <w:p>
      <w:pPr>
        <w:pStyle w:val="Normal"/>
        <w:ind w:firstLine="720" w:end="0"/>
        <w:rPr/>
      </w:pPr>
      <w:r>
        <w:rPr/>
      </w:r>
    </w:p>
    <w:p>
      <w:pPr>
        <w:pStyle w:val="Normal"/>
        <w:rPr/>
      </w:pPr>
      <w:r>
        <w:rPr/>
        <w:tab/>
        <w:t xml:space="preserve">In order to create a primary market for PTRs, the RTO will first establish a set of explicit rights and then auction those rights to market participants.  Market participants who acquire PTRs from the RTO in the “primary” PTR market can use them to meet their requirements.  In addition, during any period when they do not need all of those PTRs to meet their own requirements, they will have the ability to sell them to other parties.  This is referred to as the “secondary” PTR market. </w:t>
      </w:r>
    </w:p>
    <w:p>
      <w:pPr>
        <w:pStyle w:val="Normal"/>
        <w:rPr/>
      </w:pPr>
      <w:r>
        <w:rPr/>
      </w:r>
    </w:p>
    <w:p>
      <w:pPr>
        <w:pStyle w:val="Normal"/>
        <w:ind w:firstLine="720" w:end="0"/>
        <w:rPr/>
      </w:pPr>
      <w:r>
        <w:rPr/>
        <w:t>The secondary PTR market will not be administered by the RTO but rather will be administered by one or more independent commercial entities. The RTO will supervise the running the secondary market by organizations similar to the CA Automated Power exchange.</w:t>
      </w:r>
    </w:p>
    <w:p>
      <w:pPr>
        <w:pStyle w:val="Normal"/>
        <w:rPr/>
      </w:pPr>
      <w:r>
        <w:rPr/>
      </w:r>
    </w:p>
    <w:p>
      <w:pPr>
        <w:pStyle w:val="Normal"/>
        <w:rPr/>
      </w:pPr>
      <w:r>
        <w:rPr/>
      </w:r>
    </w:p>
    <w:p>
      <w:pPr>
        <w:pStyle w:val="Normal"/>
        <w:rPr>
          <w:u w:val="single"/>
        </w:rPr>
      </w:pPr>
      <w:r>
        <w:rPr>
          <w:u w:val="single"/>
        </w:rPr>
        <w:t xml:space="preserve">Defining PTRs </w:t>
      </w:r>
    </w:p>
    <w:p>
      <w:pPr>
        <w:pStyle w:val="Normal"/>
        <w:rPr/>
      </w:pPr>
      <w:r>
        <w:rPr/>
        <w:t>The first step in the implementation of this CMS is the selection of commercially significant flowgates  ("CSFs") This determination should be based on extensive load flow analysis to determine most likely patterns of congestion and an economic analysis to determine the value of these patterns of congestion. CSFs may be added and subtracted over time as the grid evolves.</w:t>
      </w:r>
    </w:p>
    <w:p>
      <w:pPr>
        <w:pStyle w:val="Normal"/>
        <w:rPr/>
      </w:pPr>
      <w:r>
        <w:rPr/>
      </w:r>
    </w:p>
    <w:p>
      <w:pPr>
        <w:pStyle w:val="Normal"/>
        <w:rPr/>
      </w:pPr>
      <w:r>
        <w:rPr/>
        <w:tab/>
        <w:t>Since PTRs will be traded on each CSF individually, capacities available to the market need to respect the physical interactions between flowgates and only sell an amount of capacity that can simultaneously be delivered on all elements of the transmission system. Thus, the RTO will determine PTR capacities based on simultaneously feasible flow limitations.</w:t>
      </w:r>
      <w:r>
        <w:rPr>
          <w:rStyle w:val="FootnoteCharacters"/>
          <w:rStyle w:val="FootnoteReference"/>
        </w:rPr>
        <w:footnoteReference w:id="2"/>
      </w:r>
      <w:r>
        <w:rPr/>
        <w:t xml:space="preserve"> Since these limits vary over time, the RTO will release incremental capacity seasonally. (See </w:t>
      </w:r>
      <w:r>
        <w:rPr>
          <w:i/>
        </w:rPr>
        <w:t>Implementation</w:t>
      </w:r>
      <w:r>
        <w:rPr/>
        <w:t xml:space="preserve"> below for further details).</w:t>
      </w:r>
    </w:p>
    <w:p>
      <w:pPr>
        <w:pStyle w:val="Normal"/>
        <w:rPr/>
      </w:pPr>
      <w:r>
        <w:rPr/>
      </w:r>
    </w:p>
    <w:p>
      <w:pPr>
        <w:pStyle w:val="Normal"/>
        <w:rPr>
          <w:u w:val="single"/>
        </w:rPr>
      </w:pPr>
      <w:r>
        <w:rPr>
          <w:u w:val="single"/>
        </w:rPr>
        <w:t>Purchasing PTRs</w:t>
      </w:r>
    </w:p>
    <w:p>
      <w:pPr>
        <w:pStyle w:val="Normal"/>
        <w:rPr/>
      </w:pPr>
      <w:r>
        <w:rPr/>
        <w:t xml:space="preserve">REAL Flow recognizes network flows in electric transmission, and aligns PTR purchases with these flow patterns. Transactions between any two points on the grid will have to purchase rights on all the CSFs that are affected by the transaction. The measure of such an effect is a metric called the Power Transfer Distribution Factor (PTDF), which is identical to the PTDFs NERC calculates today as part of the TLR procedures. </w:t>
      </w:r>
    </w:p>
    <w:p>
      <w:pPr>
        <w:pStyle w:val="Normal"/>
        <w:rPr/>
      </w:pPr>
      <w:r>
        <w:rPr/>
      </w:r>
    </w:p>
    <w:p>
      <w:pPr>
        <w:pStyle w:val="Normal"/>
        <w:ind w:firstLine="720" w:end="0"/>
        <w:rPr/>
      </w:pPr>
      <w:r>
        <w:rPr/>
        <w:t xml:space="preserve">The PTDF is a property of the combination of a transaction point of injection (POI) and point of withdrawal (POW) and a particular flowgate. Every transaction has a PTDF on every CSF. This means that a transaction from A-B will have a PTDF of 0.2 on a CSF 'C', if a one MW transaction from A to B will cause a flow of 0.2 MW on 'C'. Thus, any transaction will have to purchase transmission rights equivalent to the PTDFs on all the CSFs defined in the system. </w:t>
      </w:r>
    </w:p>
    <w:p>
      <w:pPr>
        <w:pStyle w:val="Normal"/>
        <w:ind w:firstLine="720" w:end="0"/>
        <w:rPr/>
      </w:pPr>
      <w:r>
        <w:rPr/>
      </w:r>
    </w:p>
    <w:p>
      <w:pPr>
        <w:pStyle w:val="Normal"/>
        <w:ind w:firstLine="720" w:end="0"/>
        <w:rPr/>
      </w:pPr>
      <w:r>
        <w:rPr/>
        <w:t xml:space="preserve">In the primary market the PTRs will be sold individually.  In the Secondary market it is most likely that the PTRs will be grouped so as to represent the needed flowgate transfer capability for common transactions. As such, the purchasing process can be automated such that transmission rights for transactions can be sold as 'packages' and market participants can maintain and trade portfolios of transmission rights with ease and be insulated from detailed knowledge of purchase requirements for every transaction. </w:t>
      </w:r>
    </w:p>
    <w:p>
      <w:pPr>
        <w:pStyle w:val="Normal"/>
        <w:rPr>
          <w:u w:val="single"/>
        </w:rPr>
      </w:pPr>
      <w:r>
        <w:rPr>
          <w:u w:val="single"/>
        </w:rPr>
      </w:r>
    </w:p>
    <w:p>
      <w:pPr>
        <w:pStyle w:val="Heading3"/>
        <w:rPr/>
      </w:pPr>
      <w:r>
        <w:rPr/>
        <w:t>Bilateral Forward Markets</w:t>
      </w:r>
    </w:p>
    <w:p>
      <w:pPr>
        <w:pStyle w:val="Normal"/>
        <w:rPr/>
      </w:pPr>
      <w:r>
        <w:rPr/>
        <w:t xml:space="preserve">The most important characteristic and benefit of REAL Flow is that one or more independent exchanges will exist in which energy, transmission capacity and ancillary services can be continuously traded. The effect of these independent markets will be that  RTOs will not intervene in the market and prices for tradable products will be set by the market through series of bilateral transactions.  The prices are ex-ante and transactions can be adjusted right up until real-time. The creation of a well-defined, small set of transmission products (the CSFs) enables a liquid (high-volume) market for transmission and, by extension, for energy. This high liquidity will in turn provide for greater price certainty. </w:t>
      </w:r>
    </w:p>
    <w:p>
      <w:pPr>
        <w:pStyle w:val="Normal"/>
        <w:rPr/>
      </w:pPr>
      <w:r>
        <w:rPr/>
        <w:tab/>
        <w:t>Participants in the forward energy market will be required to submit balanced (supply and demand) schedules, but no price information, along with necessary PTRs associated with every scheduled transaction.  Market participants will be required to submit supplemental energy incremental ("inc") and decremental ("dec") bids for redispatch purposes along with their energy schedules. The RTO will post PTR requirements for all transaction pairs. The exchanges will be the source of price information needed by market participants to value transmission.  In a liquid market the locational differences in energy prices will correlate directly to the value of the distribution factor-based transmission paths between any two locations. POI-POW pairs that do not require the purchase of PTRs will trade at the same price.</w:t>
      </w:r>
    </w:p>
    <w:p>
      <w:pPr>
        <w:pStyle w:val="Normal"/>
        <w:rPr/>
      </w:pPr>
      <w:r>
        <w:rPr/>
      </w:r>
    </w:p>
    <w:p>
      <w:pPr>
        <w:pStyle w:val="Normal"/>
        <w:rPr/>
      </w:pPr>
      <w:r>
        <w:rPr/>
        <w:tab/>
        <w:t>There will exist one or more exchanges for transmission that will provide a  secondary market for PTRs. The RTO will incrementally post updates to Total Transfer Capability ("TTC") and Available Transfer Capability ("ATC") and run periodic auctions for incremental capacity. The transmission exchange will post currently traded prices for all CSFs.</w:t>
      </w:r>
    </w:p>
    <w:p>
      <w:pPr>
        <w:pStyle w:val="Normal"/>
        <w:rPr/>
      </w:pPr>
      <w:r>
        <w:rPr/>
      </w:r>
    </w:p>
    <w:p>
      <w:pPr>
        <w:pStyle w:val="Normal"/>
        <w:ind w:firstLine="720" w:end="0"/>
        <w:rPr/>
      </w:pPr>
      <w:r>
        <w:rPr/>
        <w:t>Participants purchase their loss and reserve requirements in the ancillary market. These independent exchanges will not participate in the market and therefore be no more than “honest brokers” within the market.</w:t>
        <w:tab/>
        <w:t xml:space="preserve"> </w:t>
      </w:r>
    </w:p>
    <w:p>
      <w:pPr>
        <w:pStyle w:val="Heading3"/>
        <w:rPr/>
      </w:pPr>
      <w:r>
        <w:rPr/>
        <w:t>Real-Time Balancing Market</w:t>
      </w:r>
    </w:p>
    <w:p>
      <w:pPr>
        <w:pStyle w:val="Normal"/>
        <w:rPr/>
      </w:pPr>
      <w:r>
        <w:rPr/>
        <w:t xml:space="preserve">The RTO will run a single real-time balancing market within the hour once the forward markets have closed. This market will be a </w:t>
      </w:r>
      <w:r>
        <w:rPr>
          <w:u w:val="single"/>
        </w:rPr>
        <w:t>residual market only</w:t>
      </w:r>
      <w:r>
        <w:rPr/>
        <w:t>. This market will likely include a very small percentage of overall transactions, and will permit redispatch in the event of unforeseen circumstances, such as generator or line outages, or unexpected load. The RTO will use inc and dec bids from market participants to clear this market on a region-wide basis. The RTO will alleviate real-time constraints through redispatch and meet imbalances simultaneously across the RTO. Redispatch to alleviate any constraints on the system other than on CSFs will be charged as an uplift to all loads. The RTO will clear imbalances on the basis of marginal prices calculated at constrained locations within the grid.</w:t>
      </w:r>
    </w:p>
    <w:p>
      <w:pPr>
        <w:pStyle w:val="Normal"/>
        <w:rPr>
          <w:i/>
          <w:i/>
        </w:rPr>
      </w:pPr>
      <w:r>
        <w:rPr>
          <w:i/>
        </w:rPr>
      </w:r>
    </w:p>
    <w:p>
      <w:pPr>
        <w:pStyle w:val="Normal"/>
        <w:rPr>
          <w:i/>
          <w:i/>
        </w:rPr>
      </w:pPr>
      <w:r>
        <w:rPr>
          <w:i/>
        </w:rPr>
        <w:t>Real-Time Control and Dispatch Function</w:t>
      </w:r>
    </w:p>
    <w:p>
      <w:pPr>
        <w:pStyle w:val="Normal"/>
        <w:rPr/>
      </w:pPr>
      <w:r>
        <w:rPr/>
        <w:t>The RTO will operate a coordinated, hierarchical control and dispatch function with existing control areas so as to allow them to preserve some of their functions and utilize their existing control, monitoring and metering systems. This means that the control areas will retain some of their functions, but relinquish the control of others to the RTO. Specifically, regulation and voltage control will remain  the responsibility of the control areas, with the RTO exercising  a coordinating role. Responsibility for other of the ancillary services, such as black start, will be coordinated by the RTO but primary responsibility will be placed where it is most efficient.</w:t>
      </w:r>
    </w:p>
    <w:p>
      <w:pPr>
        <w:pStyle w:val="Normal"/>
        <w:rPr/>
      </w:pPr>
      <w:r>
        <w:rPr/>
      </w:r>
    </w:p>
    <w:p>
      <w:pPr>
        <w:pStyle w:val="Normal"/>
        <w:rPr>
          <w:i/>
          <w:i/>
        </w:rPr>
      </w:pPr>
      <w:r>
        <w:rPr>
          <w:i/>
        </w:rPr>
        <w:t>RTO Function</w:t>
      </w:r>
    </w:p>
    <w:p>
      <w:pPr>
        <w:pStyle w:val="Normal"/>
        <w:rPr/>
      </w:pPr>
      <w:r>
        <w:rPr/>
        <w:t>The RTO will have complete  responsible for reliability as the Security Coordinator, coordinate the deployment of ancillary services and serve as the responsible ancillary service provider of last resort (though specific physical responsibilities may be assigned to individual control areas).  The control areas will serve as agents of the RTO, and will take on the duty to perform their functions in the best interest of the RTO to maintain reliability of the system.</w:t>
      </w:r>
    </w:p>
    <w:p>
      <w:pPr>
        <w:pStyle w:val="Normal"/>
        <w:rPr/>
      </w:pPr>
      <w:r>
        <w:rPr/>
      </w:r>
    </w:p>
    <w:p>
      <w:pPr>
        <w:pStyle w:val="Normal"/>
        <w:rPr/>
      </w:pPr>
      <w:r>
        <w:rPr/>
        <w:t>The functions of the RTO can be summarized as follows:</w:t>
      </w:r>
    </w:p>
    <w:p>
      <w:pPr>
        <w:pStyle w:val="Normal"/>
        <w:numPr>
          <w:ilvl w:val="0"/>
          <w:numId w:val="16"/>
        </w:numPr>
        <w:rPr/>
      </w:pPr>
      <w:r>
        <w:rPr/>
        <w:t>Manage transmission capacity rights on CSFs, including calculating and posting TTC, ATC, releasing capacity in primary auctions, and posting PTR transaction requirements.</w:t>
      </w:r>
    </w:p>
    <w:p>
      <w:pPr>
        <w:pStyle w:val="Normal"/>
        <w:numPr>
          <w:ilvl w:val="0"/>
          <w:numId w:val="16"/>
        </w:numPr>
        <w:rPr/>
      </w:pPr>
      <w:r>
        <w:rPr/>
        <w:t>Run a single energy balancing market, including managing a balancing energy stack, performing redispatch and coordinating control area-level dispatch in accordance with redispatch requirements.  The RTO will accomplish this honoring existing schedules to the greatest extent possible.</w:t>
      </w:r>
    </w:p>
    <w:p>
      <w:pPr>
        <w:pStyle w:val="Normal"/>
        <w:numPr>
          <w:ilvl w:val="0"/>
          <w:numId w:val="16"/>
        </w:numPr>
        <w:rPr/>
      </w:pPr>
      <w:r>
        <w:rPr/>
        <w:t xml:space="preserve">Receive and account for balanced schedules from commercial exchanges and individual market participants. </w:t>
      </w:r>
    </w:p>
    <w:p>
      <w:pPr>
        <w:pStyle w:val="Normal"/>
        <w:numPr>
          <w:ilvl w:val="0"/>
          <w:numId w:val="16"/>
        </w:numPr>
        <w:rPr/>
      </w:pPr>
      <w:r>
        <w:rPr/>
        <w:t>Forecast RTO load and post resulting ancillary service (regulation and reserve) and loss requirements.</w:t>
      </w:r>
    </w:p>
    <w:p>
      <w:pPr>
        <w:pStyle w:val="Normal"/>
        <w:rPr/>
      </w:pPr>
      <w:r>
        <w:rPr/>
      </w:r>
    </w:p>
    <w:p>
      <w:pPr>
        <w:pStyle w:val="Normal"/>
        <w:rPr/>
      </w:pPr>
      <w:r>
        <w:rPr/>
        <w:t>Unlike in a centralized pool, the RTO will not:</w:t>
      </w:r>
    </w:p>
    <w:p>
      <w:pPr>
        <w:pStyle w:val="Normal"/>
        <w:numPr>
          <w:ilvl w:val="0"/>
          <w:numId w:val="9"/>
        </w:numPr>
        <w:rPr/>
      </w:pPr>
      <w:r>
        <w:rPr/>
        <w:t>Run and/or manage the forward energy markets.</w:t>
      </w:r>
    </w:p>
    <w:p>
      <w:pPr>
        <w:pStyle w:val="Normal"/>
        <w:numPr>
          <w:ilvl w:val="0"/>
          <w:numId w:val="9"/>
        </w:numPr>
        <w:rPr/>
      </w:pPr>
      <w:r>
        <w:rPr/>
        <w:t>Dispatch the generating resources as a single control area based on an optimal power flow or security constrained dispatch model.</w:t>
      </w:r>
    </w:p>
    <w:p>
      <w:pPr>
        <w:pStyle w:val="Normal"/>
        <w:numPr>
          <w:ilvl w:val="0"/>
          <w:numId w:val="9"/>
        </w:numPr>
        <w:rPr/>
      </w:pPr>
      <w:r>
        <w:rPr/>
        <w:t>Operate a forward ancillary services market for reserves and regulation.</w:t>
      </w:r>
    </w:p>
    <w:p>
      <w:pPr>
        <w:pStyle w:val="Normal"/>
        <w:rPr>
          <w:b/>
        </w:rPr>
      </w:pPr>
      <w:r>
        <w:rPr>
          <w:b/>
        </w:rPr>
      </w:r>
    </w:p>
    <w:p>
      <w:pPr>
        <w:pStyle w:val="Heading2"/>
        <w:rPr/>
      </w:pPr>
      <w:bookmarkStart w:id="8" w:name="__RefHeading___Toc488204485"/>
      <w:bookmarkEnd w:id="8"/>
      <w:r>
        <w:rPr/>
        <w:t>Implementation</w:t>
      </w:r>
    </w:p>
    <w:p>
      <w:pPr>
        <w:pStyle w:val="Normal"/>
        <w:rPr>
          <w:i/>
          <w:i/>
        </w:rPr>
      </w:pPr>
      <w:r>
        <w:rPr>
          <w:i/>
        </w:rPr>
      </w:r>
    </w:p>
    <w:p>
      <w:pPr>
        <w:pStyle w:val="Normal"/>
        <w:rPr>
          <w:i/>
          <w:i/>
        </w:rPr>
      </w:pPr>
      <w:r>
        <w:rPr>
          <w:i/>
        </w:rPr>
        <w:t>PTR Markets</w:t>
      </w:r>
    </w:p>
    <w:p>
      <w:pPr>
        <w:pStyle w:val="EndnoteText"/>
        <w:rPr/>
      </w:pPr>
      <w:r>
        <w:rPr/>
        <w:t xml:space="preserve">The definition of CSFs and their purchase requirements using PTDFs provides a logical and simple method for linking the commercial activities of the forward markets to the physics of delivering energy in the electric grid. The primary characteristic of PTDFs that enable trading of CSFs without exposing the market to the micro complexities of the electric grid operation is their nearly static nature. </w:t>
      </w:r>
    </w:p>
    <w:p>
      <w:pPr>
        <w:pStyle w:val="EndnoteText"/>
        <w:rPr/>
      </w:pPr>
      <w:r>
        <w:rPr/>
      </w:r>
    </w:p>
    <w:p>
      <w:pPr>
        <w:pStyle w:val="Normal"/>
        <w:rPr>
          <w:u w:val="single"/>
        </w:rPr>
      </w:pPr>
      <w:r>
        <w:rPr>
          <w:u w:val="single"/>
        </w:rPr>
        <w:t>Power Transfer Distribution Factors (PTDFs)</w:t>
      </w:r>
    </w:p>
    <w:p>
      <w:pPr>
        <w:pStyle w:val="Normal"/>
        <w:rPr/>
      </w:pPr>
      <w:r>
        <w:rPr/>
        <w:t>PTDFs are functions of network impedance. As such, they change only with physical changes in the system, and under few circumstances from changes in operation of the grid. The largest changes to PTDFs, though still generally less than 10%, occur in the shoulder seasons due to the change in generation for refueling and maintenance. Other physical changes, such as generator or line outages have a small impact on PTDFs, but are random, and generally short-lived. Most operational changes, such as changes in dispatch, flows, and load variations have no impact on PTDFs.  Only alterations to solid-state devices, such as phase shifter settings, can change PTDFs, but, again, very marginally. Table 1 below summarizes the various factors impacting PTDFs.</w:t>
      </w:r>
    </w:p>
    <w:p>
      <w:pPr>
        <w:pStyle w:val="Normal"/>
        <w:rPr/>
      </w:pPr>
      <w:r>
        <w:rPr/>
      </w:r>
    </w:p>
    <w:p>
      <w:pPr>
        <w:pStyle w:val="Normal"/>
        <w:ind w:firstLine="720" w:end="0"/>
        <w:rPr/>
      </w:pPr>
      <w:r>
        <w:rPr/>
        <w:t xml:space="preserve">Since these changes may occur at any time, distribution factors can theoretically vary by hour. To insulate the market from the uncertainty associated with these minor changes, the distribution factors can safely be assumed to be constant within seasons. CSF capacity will be recalculated seasonally to account for seasonal variations in PTDFs. Discrepancies between schedules and rights in real time can be resolved in the balancing market and the costs allocated back to imbalances. </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TableHeader"/>
        <w:rPr/>
      </w:pPr>
      <w:r>
        <w:rPr/>
        <w:tab/>
        <w:t>Table 1: Factors Impacting Distribution Factors (PTDFs)</w:t>
      </w:r>
    </w:p>
    <w:tbl>
      <w:tblPr>
        <w:tblW w:w="7920" w:type="dxa"/>
        <w:jc w:val="center"/>
        <w:tblInd w:w="0" w:type="dxa"/>
        <w:tblLayout w:type="fixed"/>
        <w:tblCellMar>
          <w:top w:w="0" w:type="dxa"/>
          <w:start w:w="108" w:type="dxa"/>
          <w:bottom w:w="0" w:type="dxa"/>
          <w:end w:w="108" w:type="dxa"/>
        </w:tblCellMar>
      </w:tblPr>
      <w:tblGrid>
        <w:gridCol w:w="3780"/>
        <w:gridCol w:w="2250"/>
        <w:gridCol w:w="1890"/>
      </w:tblGrid>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rPr>
                <w:rFonts w:ascii="Arial" w:hAnsi="Arial" w:cs="Arial"/>
                <w:b/>
                <w:sz w:val="20"/>
              </w:rPr>
            </w:pPr>
            <w:r>
              <w:rPr>
                <w:rFonts w:cs="Arial" w:ascii="Arial" w:hAnsi="Arial"/>
                <w:b/>
                <w:sz w:val="20"/>
              </w:rPr>
              <w:t>System Change</w:t>
            </w:r>
          </w:p>
        </w:tc>
        <w:tc>
          <w:tcPr>
            <w:tcW w:w="2250" w:type="dxa"/>
            <w:tcBorders>
              <w:top w:val="single" w:sz="6" w:space="0" w:color="000080"/>
              <w:start w:val="single" w:sz="6" w:space="0" w:color="000080"/>
              <w:bottom w:val="single" w:sz="6" w:space="0" w:color="000080"/>
              <w:end w:val="single" w:sz="6" w:space="0" w:color="000080"/>
            </w:tcBorders>
            <w:shd w:fill="C0C0C0" w:val="clear"/>
          </w:tcPr>
          <w:p>
            <w:pPr>
              <w:pStyle w:val="Normal"/>
              <w:jc w:val="center"/>
              <w:rPr>
                <w:rFonts w:ascii="Arial" w:hAnsi="Arial" w:cs="Arial"/>
                <w:b/>
                <w:sz w:val="20"/>
              </w:rPr>
            </w:pPr>
            <w:r>
              <w:rPr>
                <w:rFonts w:cs="Arial" w:ascii="Arial" w:hAnsi="Arial"/>
                <w:b/>
                <w:sz w:val="20"/>
              </w:rPr>
              <w:t>Impact on PTDFs (Descending Order)</w:t>
            </w:r>
          </w:p>
        </w:tc>
        <w:tc>
          <w:tcPr>
            <w:tcW w:w="1890" w:type="dxa"/>
            <w:tcBorders>
              <w:top w:val="single" w:sz="6" w:space="0" w:color="000080"/>
              <w:start w:val="single" w:sz="6" w:space="0" w:color="000080"/>
              <w:bottom w:val="single" w:sz="6" w:space="0" w:color="000080"/>
              <w:end w:val="single" w:sz="6" w:space="0" w:color="000080"/>
            </w:tcBorders>
            <w:shd w:fill="C0C0C0" w:val="clear"/>
          </w:tcPr>
          <w:p>
            <w:pPr>
              <w:pStyle w:val="Normal"/>
              <w:jc w:val="center"/>
              <w:rPr>
                <w:rFonts w:ascii="Arial" w:hAnsi="Arial" w:cs="Arial"/>
                <w:b/>
                <w:sz w:val="20"/>
              </w:rPr>
            </w:pPr>
            <w:r>
              <w:rPr>
                <w:rFonts w:cs="Arial" w:ascii="Arial" w:hAnsi="Arial"/>
                <w:b/>
                <w:sz w:val="20"/>
              </w:rPr>
              <w:t>Frequency</w:t>
            </w:r>
          </w:p>
        </w:tc>
      </w:tr>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spacing w:before="60" w:after="0"/>
              <w:rPr>
                <w:rFonts w:ascii="Arial" w:hAnsi="Arial" w:cs="Arial"/>
                <w:sz w:val="20"/>
              </w:rPr>
            </w:pPr>
            <w:r>
              <w:rPr>
                <w:rFonts w:cs="Arial" w:ascii="Arial" w:hAnsi="Arial"/>
                <w:sz w:val="20"/>
              </w:rPr>
              <w:t>Maintenance Season</w:t>
            </w:r>
          </w:p>
        </w:tc>
        <w:tc>
          <w:tcPr>
            <w:tcW w:w="225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&lt; 10%</w:t>
            </w:r>
          </w:p>
        </w:tc>
        <w:tc>
          <w:tcPr>
            <w:tcW w:w="189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Seasonal</w:t>
            </w:r>
          </w:p>
        </w:tc>
      </w:tr>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spacing w:before="60" w:after="0"/>
              <w:rPr>
                <w:rFonts w:ascii="Arial" w:hAnsi="Arial" w:cs="Arial"/>
                <w:sz w:val="20"/>
              </w:rPr>
            </w:pPr>
            <w:r>
              <w:rPr>
                <w:rFonts w:cs="Arial" w:ascii="Arial" w:hAnsi="Arial"/>
                <w:sz w:val="20"/>
              </w:rPr>
              <w:t>Line Outage</w:t>
            </w:r>
          </w:p>
        </w:tc>
        <w:tc>
          <w:tcPr>
            <w:tcW w:w="225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Small</w:t>
            </w:r>
          </w:p>
        </w:tc>
        <w:tc>
          <w:tcPr>
            <w:tcW w:w="189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Random</w:t>
            </w:r>
          </w:p>
        </w:tc>
      </w:tr>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spacing w:before="60" w:after="0"/>
              <w:rPr>
                <w:rFonts w:ascii="Arial" w:hAnsi="Arial" w:cs="Arial"/>
                <w:sz w:val="20"/>
              </w:rPr>
            </w:pPr>
            <w:r>
              <w:rPr>
                <w:rFonts w:cs="Arial" w:ascii="Arial" w:hAnsi="Arial"/>
                <w:sz w:val="20"/>
              </w:rPr>
              <w:t>New Generator/Transmission</w:t>
            </w:r>
          </w:p>
        </w:tc>
        <w:tc>
          <w:tcPr>
            <w:tcW w:w="225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Small</w:t>
            </w:r>
          </w:p>
        </w:tc>
        <w:tc>
          <w:tcPr>
            <w:tcW w:w="189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Random</w:t>
            </w:r>
          </w:p>
        </w:tc>
      </w:tr>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spacing w:before="60" w:after="0"/>
              <w:rPr>
                <w:rFonts w:ascii="Arial" w:hAnsi="Arial" w:cs="Arial"/>
                <w:sz w:val="20"/>
              </w:rPr>
            </w:pPr>
            <w:r>
              <w:rPr>
                <w:rFonts w:cs="Arial" w:ascii="Arial" w:hAnsi="Arial"/>
                <w:sz w:val="20"/>
              </w:rPr>
              <w:t>Phase Shifter Adjustment</w:t>
            </w:r>
          </w:p>
        </w:tc>
        <w:tc>
          <w:tcPr>
            <w:tcW w:w="225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Negligible</w:t>
            </w:r>
          </w:p>
        </w:tc>
        <w:tc>
          <w:tcPr>
            <w:tcW w:w="189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Random</w:t>
            </w:r>
          </w:p>
        </w:tc>
      </w:tr>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spacing w:before="60" w:after="0"/>
              <w:rPr>
                <w:rFonts w:ascii="Arial" w:hAnsi="Arial" w:cs="Arial"/>
                <w:sz w:val="20"/>
              </w:rPr>
            </w:pPr>
            <w:r>
              <w:rPr>
                <w:rFonts w:cs="Arial" w:ascii="Arial" w:hAnsi="Arial"/>
                <w:sz w:val="20"/>
              </w:rPr>
              <w:t>Change in dispatch</w:t>
            </w:r>
          </w:p>
        </w:tc>
        <w:tc>
          <w:tcPr>
            <w:tcW w:w="225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None</w:t>
            </w:r>
          </w:p>
        </w:tc>
        <w:tc>
          <w:tcPr>
            <w:tcW w:w="189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Constant</w:t>
            </w:r>
          </w:p>
        </w:tc>
      </w:tr>
      <w:tr>
        <w:trPr/>
        <w:tc>
          <w:tcPr>
            <w:tcW w:w="3780" w:type="dxa"/>
            <w:tcBorders>
              <w:top w:val="single" w:sz="6" w:space="0" w:color="000080"/>
              <w:start w:val="single" w:sz="6" w:space="0" w:color="000080"/>
              <w:bottom w:val="single" w:sz="6" w:space="0" w:color="000080"/>
              <w:end w:val="single" w:sz="6" w:space="0" w:color="000080"/>
            </w:tcBorders>
            <w:shd w:fill="BFBFBF" w:val="clear"/>
          </w:tcPr>
          <w:p>
            <w:pPr>
              <w:pStyle w:val="Normal"/>
              <w:spacing w:before="60" w:after="0"/>
              <w:rPr>
                <w:rFonts w:ascii="Arial" w:hAnsi="Arial" w:cs="Arial"/>
                <w:sz w:val="20"/>
              </w:rPr>
            </w:pPr>
            <w:r>
              <w:rPr>
                <w:rFonts w:cs="Arial" w:ascii="Arial" w:hAnsi="Arial"/>
                <w:sz w:val="20"/>
              </w:rPr>
              <w:t>Load variations</w:t>
            </w:r>
          </w:p>
        </w:tc>
        <w:tc>
          <w:tcPr>
            <w:tcW w:w="225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None</w:t>
            </w:r>
          </w:p>
        </w:tc>
        <w:tc>
          <w:tcPr>
            <w:tcW w:w="1890" w:type="dxa"/>
            <w:tcBorders>
              <w:top w:val="single" w:sz="6" w:space="0" w:color="000080"/>
              <w:start w:val="single" w:sz="6" w:space="0" w:color="000080"/>
              <w:bottom w:val="single" w:sz="6" w:space="0" w:color="000080"/>
              <w:end w:val="single" w:sz="6" w:space="0" w:color="000080"/>
            </w:tcBorders>
          </w:tcPr>
          <w:p>
            <w:pPr>
              <w:pStyle w:val="Normal"/>
              <w:spacing w:before="60" w:after="0"/>
              <w:jc w:val="center"/>
              <w:rPr>
                <w:rFonts w:ascii="Arial" w:hAnsi="Arial" w:cs="Arial"/>
                <w:sz w:val="20"/>
              </w:rPr>
            </w:pPr>
            <w:r>
              <w:rPr>
                <w:rFonts w:cs="Arial" w:ascii="Arial" w:hAnsi="Arial"/>
                <w:sz w:val="20"/>
              </w:rPr>
              <w:t>Constant</w:t>
            </w:r>
          </w:p>
        </w:tc>
      </w:tr>
    </w:tbl>
    <w:p>
      <w:pPr>
        <w:pStyle w:val="Normal"/>
        <w:rPr/>
      </w:pPr>
      <w:r>
        <w:rPr/>
      </w:r>
    </w:p>
    <w:p>
      <w:pPr>
        <w:pStyle w:val="Normal"/>
        <w:rPr/>
      </w:pPr>
      <w:r>
        <w:rPr/>
      </w:r>
    </w:p>
    <w:p>
      <w:pPr>
        <w:pStyle w:val="Normal"/>
        <w:rPr>
          <w:u w:val="single"/>
        </w:rPr>
      </w:pPr>
      <w:r>
        <w:rPr>
          <w:u w:val="single"/>
        </w:rPr>
        <w:t>Defining PTRs</w:t>
      </w:r>
    </w:p>
    <w:p>
      <w:pPr>
        <w:pStyle w:val="Normal"/>
        <w:rPr/>
      </w:pPr>
      <w:r>
        <w:rPr/>
        <w:t>The selection of commercially significant flowgates will require engineering and economic analysis at the design stage to prioritize the value of potentially congested flowgates on the system. The following steps lead to a prioritized list of such flowgates, from which the RTO decision making process can develop a threshold breakpoint to select the CSFs for release into the marketplace.</w:t>
      </w:r>
    </w:p>
    <w:p>
      <w:pPr>
        <w:pStyle w:val="Normal"/>
        <w:numPr>
          <w:ilvl w:val="0"/>
          <w:numId w:val="17"/>
        </w:numPr>
        <w:rPr/>
      </w:pPr>
      <w:r>
        <w:rPr/>
        <w:t>Identify all historically constrained transmission flowgates.</w:t>
      </w:r>
    </w:p>
    <w:p>
      <w:pPr>
        <w:pStyle w:val="Normal"/>
        <w:numPr>
          <w:ilvl w:val="0"/>
          <w:numId w:val="17"/>
        </w:numPr>
        <w:rPr/>
      </w:pPr>
      <w:r>
        <w:rPr/>
        <w:t>Perform competitive wholesale market simulation going forward three years based on proposed generation projects and projected load growth to identify other potentially congested transmission flowgates</w:t>
      </w:r>
      <w:r>
        <w:rPr>
          <w:rStyle w:val="FootnoteCharacters"/>
          <w:rStyle w:val="FootnoteReference"/>
        </w:rPr>
        <w:footnoteReference w:id="3"/>
      </w:r>
      <w:r>
        <w:rPr/>
        <w:t xml:space="preserve"> and to project the annual value of the congested interfaces from the projected shadow prices (simulation result) on all the identified interfaces.</w:t>
      </w:r>
    </w:p>
    <w:p>
      <w:pPr>
        <w:pStyle w:val="Normal"/>
        <w:numPr>
          <w:ilvl w:val="0"/>
          <w:numId w:val="17"/>
        </w:numPr>
        <w:rPr/>
      </w:pPr>
      <w:r>
        <w:rPr/>
        <w:t>Rank the identified interfaces based on the projected commercial cost of congestion.</w:t>
      </w:r>
    </w:p>
    <w:p>
      <w:pPr>
        <w:pStyle w:val="Normal"/>
        <w:numPr>
          <w:ilvl w:val="0"/>
          <w:numId w:val="17"/>
        </w:numPr>
        <w:rPr/>
      </w:pPr>
      <w:r>
        <w:rPr/>
        <w:t>Work with stakeholders to develop a threshold of "commercial significance"</w:t>
      </w:r>
    </w:p>
    <w:p>
      <w:pPr>
        <w:pStyle w:val="Normal"/>
        <w:numPr>
          <w:ilvl w:val="0"/>
          <w:numId w:val="17"/>
        </w:numPr>
        <w:rPr/>
      </w:pPr>
      <w:r>
        <w:rPr/>
        <w:t>Select the set of flowgate capacity for release into the market as CSFs based on this threshold.</w:t>
      </w:r>
    </w:p>
    <w:p>
      <w:pPr>
        <w:pStyle w:val="Normal"/>
        <w:rPr/>
      </w:pPr>
      <w:r>
        <w:rPr/>
      </w:r>
    </w:p>
    <w:p>
      <w:pPr>
        <w:pStyle w:val="Normal"/>
        <w:rPr/>
      </w:pPr>
      <w:r>
        <w:rPr/>
        <w:t xml:space="preserve">A prudent design would suggest a conservative (relatively larger) selection of flowgates, since transaction costs associated with purchasing PTRs do not scale with the number of CSFs. That is, transactions will be made only marginally more complicated by the need to purchase additional PTRs.  After the primary auction, it is anticipated that packages of PTRs will be made available in the market for transactions between known points of injection and points of withdrawal. People's portfolios may end up being larger, but they are likely to own and manage a diverse portfolio in any case. </w:t>
      </w:r>
    </w:p>
    <w:p>
      <w:pPr>
        <w:pStyle w:val="Normal"/>
        <w:rPr/>
      </w:pPr>
      <w:r>
        <w:rPr/>
      </w:r>
    </w:p>
    <w:p>
      <w:pPr>
        <w:pStyle w:val="Normal"/>
        <w:rPr/>
      </w:pPr>
      <w:r>
        <w:rPr/>
        <w:t xml:space="preserve">The above analytical approach will provide a comprehensive set of potentially constrained flowgates, and allow for a transparent and interactive decision-making process where stakeholders can quickly develop a sense of the commercial simplicity most appropriate for the system. Since congestion and changes in system use patterns cannot realistically be predicted for all time, the definition of CSFs will be revisited prior to each primary auction. </w:t>
      </w:r>
    </w:p>
    <w:p>
      <w:pPr>
        <w:pStyle w:val="Normal"/>
        <w:rPr/>
      </w:pPr>
      <w:r>
        <w:rPr/>
      </w:r>
    </w:p>
    <w:p>
      <w:pPr>
        <w:pStyle w:val="Normal"/>
        <w:rPr>
          <w:u w:val="single"/>
        </w:rPr>
      </w:pPr>
      <w:r>
        <w:rPr>
          <w:u w:val="single"/>
        </w:rPr>
        <w:t>Defining PTR Capacities</w:t>
      </w:r>
    </w:p>
    <w:p>
      <w:pPr>
        <w:pStyle w:val="Normal"/>
        <w:rPr>
          <w:u w:val="single"/>
        </w:rPr>
      </w:pPr>
      <w:r>
        <w:rPr>
          <w:u w:val="single"/>
        </w:rPr>
      </w:r>
    </w:p>
    <w:p>
      <w:pPr>
        <w:pStyle w:val="Normal"/>
        <w:rPr>
          <w:rFonts w:ascii="Arial" w:hAnsi="Arial" w:cs="Arial"/>
          <w:sz w:val="20"/>
        </w:rPr>
      </w:pPr>
      <w:r>
        <w:rPr/>
        <w:t>As shown in Figure 1 below, there are infinite possible combinations of simultaneous feasible capacities that can be offered in the market, some of which may be available only under certain conditions. In the primary market, the RTO will only release the least simultaneously feasible capacity - which is x' and y' in Figure 2.  The RTO will release incremental capacity into the market. Because limits generally vary with the season, PTRs will be made available in the primary auction on a seasonal basis. For CSFs that have no simultaneous limits, capacity will be sold based on the lower of their Thermal limit, Voltage Limit and Stability Limit.</w:t>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r>
    </w:p>
    <w:p>
      <w:pPr>
        <w:pStyle w:val="Normal"/>
        <w:jc w:val="center"/>
        <w:rPr>
          <w:rFonts w:ascii="Arial" w:hAnsi="Arial" w:cs="Arial"/>
          <w:sz w:val="20"/>
        </w:rPr>
      </w:pPr>
      <w:r>
        <w:object w:dxaOrig="8632" w:dyaOrig="3074">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24.8pt;width:431.6pt;height:153.7pt;mso-wrap-distance-left:9.05pt;mso-wrap-distance-right:9.05pt;mso-position-horizontal-relative:text;mso-position-vertical-relative:text" filled="f" o:ole="">
            <v:imagedata r:id="rId5" o:title=""/>
            <w10:wrap type="topAndBottom"/>
          </v:shape>
          <o:OLEObject Type="Embed" ProgID="" ShapeID="ole_rId4" DrawAspect="Content" ObjectID="_630761728" r:id="rId4"/>
        </w:object>
      </w:r>
      <w:r>
        <w:rPr>
          <w:rFonts w:cs="Arial" w:ascii="Arial" w:hAnsi="Arial"/>
          <w:sz w:val="20"/>
        </w:rPr>
        <w:t>Figure 2: PTR Capacity - Simultaneous Feasibility Limits</w:t>
      </w:r>
    </w:p>
    <w:p>
      <w:pPr>
        <w:pStyle w:val="Normal"/>
        <w:rPr>
          <w:rFonts w:ascii="Arial" w:hAnsi="Arial" w:cs="Arial"/>
          <w:sz w:val="20"/>
          <w:u w:val="single"/>
        </w:rPr>
      </w:pPr>
      <w:r>
        <w:rPr>
          <w:rFonts w:cs="Arial" w:ascii="Arial" w:hAnsi="Arial"/>
          <w:sz w:val="20"/>
          <w:u w:val="single"/>
        </w:rPr>
      </w:r>
    </w:p>
    <w:p>
      <w:pPr>
        <w:pStyle w:val="Normal"/>
        <w:rPr>
          <w:u w:val="single"/>
        </w:rPr>
      </w:pPr>
      <w:r>
        <w:rPr>
          <w:u w:val="single"/>
        </w:rPr>
      </w:r>
    </w:p>
    <w:p>
      <w:pPr>
        <w:pStyle w:val="Normal"/>
        <w:rPr>
          <w:u w:val="single"/>
          <w:lang w:val="en-CA"/>
        </w:rPr>
      </w:pPr>
      <w:r>
        <w:rPr>
          <w:u w:val="single"/>
          <w:lang w:val="en-CA"/>
        </w:rPr>
        <mc:AlternateContent>
          <mc:Choice Requires="wps">
            <w:drawing>
              <wp:anchor behindDoc="0" distT="0" distB="0" distL="114935" distR="114935" simplePos="0" locked="0" layoutInCell="1" allowOverlap="1" relativeHeight="2">
                <wp:simplePos x="0" y="0"/>
                <wp:positionH relativeFrom="column">
                  <wp:posOffset>5268595</wp:posOffset>
                </wp:positionH>
                <wp:positionV relativeFrom="paragraph">
                  <wp:posOffset>55880</wp:posOffset>
                </wp:positionV>
                <wp:extent cx="444500" cy="596900"/>
                <wp:effectExtent l="5715" t="3810" r="5715" b="3810"/>
                <wp:wrapNone/>
                <wp:docPr id="2" name=""/>
                <a:graphic xmlns:a="http://schemas.openxmlformats.org/drawingml/2006/main">
                  <a:graphicData uri="http://schemas.microsoft.com/office/word/2010/wordprocessingShape">
                    <wps:wsp>
                      <wps:cNvSpPr/>
                      <wps:spPr>
                        <a:xfrm flipH="1">
                          <a:off x="0" y="0"/>
                          <a:ext cx="444600" cy="596880"/>
                        </a:xfrm>
                        <a:prstGeom prst="line">
                          <a:avLst/>
                        </a:prstGeom>
                        <a:ln w="12600">
                          <a:solidFill>
                            <a:srgbClr val="ffffff"/>
                          </a:solidFill>
                          <a:miter/>
                        </a:ln>
                      </wps:spPr>
                      <wps:style>
                        <a:lnRef idx="0"/>
                        <a:fillRef idx="0"/>
                        <a:effectRef idx="0"/>
                        <a:fontRef idx="minor"/>
                      </wps:style>
                      <wps:bodyPr/>
                    </wps:wsp>
                  </a:graphicData>
                </a:graphic>
              </wp:anchor>
            </w:drawing>
          </mc:Choice>
          <mc:Fallback>
            <w:pict>
              <v:line id="shape_0" from="414.85pt,4.4pt" to="449.8pt,51.35pt" stroked="t" o:allowincell="f" style="position:absolute;flip:x">
                <v:stroke color="white"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685800</wp:posOffset>
                </wp:positionH>
                <wp:positionV relativeFrom="paragraph">
                  <wp:posOffset>-121285</wp:posOffset>
                </wp:positionV>
                <wp:extent cx="0" cy="1725930"/>
                <wp:effectExtent l="6350" t="0" r="6350" b="0"/>
                <wp:wrapNone/>
                <wp:docPr id="3" name=""/>
                <a:graphic xmlns:a="http://schemas.openxmlformats.org/drawingml/2006/main">
                  <a:graphicData uri="http://schemas.microsoft.com/office/word/2010/wordprocessingShape">
                    <wps:wsp>
                      <wps:cNvSpPr/>
                      <wps:spPr>
                        <a:xfrm>
                          <a:off x="0" y="0"/>
                          <a:ext cx="0" cy="1725840"/>
                        </a:xfrm>
                        <a:prstGeom prst="line">
                          <a:avLst/>
                        </a:prstGeom>
                        <a:ln w="12600">
                          <a:solidFill>
                            <a:srgbClr val="ffffff"/>
                          </a:solidFill>
                          <a:miter/>
                        </a:ln>
                      </wps:spPr>
                      <wps:style>
                        <a:lnRef idx="0"/>
                        <a:fillRef idx="0"/>
                        <a:effectRef idx="0"/>
                        <a:fontRef idx="minor"/>
                      </wps:style>
                      <wps:bodyPr/>
                    </wps:wsp>
                  </a:graphicData>
                </a:graphic>
              </wp:anchor>
            </w:drawing>
          </mc:Choice>
          <mc:Fallback>
            <w:pict>
              <v:line id="shape_0" from="54pt,-9.55pt" to="54pt,126.3pt" stroked="t" o:allowincell="f" style="position:absolute">
                <v:stroke color="white" weight="12600" joinstyle="miter" endcap="flat"/>
                <v:fill o:detectmouseclick="t" on="false"/>
                <w10:wrap type="none"/>
              </v:line>
            </w:pict>
          </mc:Fallback>
        </mc:AlternateContent>
      </w:r>
    </w:p>
    <w:p>
      <w:pPr>
        <w:pStyle w:val="Normal"/>
        <w:rPr>
          <w:u w:val="single"/>
        </w:rPr>
      </w:pPr>
      <w:r>
        <w:rPr>
          <w:u w:val="single"/>
        </w:rPr>
        <w:t>PTR Auctions</w:t>
      </w:r>
    </w:p>
    <w:p>
      <w:pPr>
        <w:pStyle w:val="Normal"/>
        <w:rPr/>
      </w:pPr>
      <w:r>
        <w:rPr/>
        <w:t>The RTO will auction PTRs on all CSFs once per year.</w:t>
      </w:r>
      <w:r>
        <w:rPr>
          <w:rStyle w:val="FootnoteCharacters"/>
          <w:rStyle w:val="FootnoteReference"/>
        </w:rPr>
        <w:footnoteReference w:id="4"/>
      </w:r>
      <w:r>
        <w:rPr/>
        <w:t xml:space="preserve"> The auction will result in a single clearing price for each type of PTR on each interface, i.e. by season and on/off peak period.  All successful bidders for a primary PTR on a given interface for a given period will pay the same clearing price.</w:t>
      </w:r>
    </w:p>
    <w:p>
      <w:pPr>
        <w:pStyle w:val="Normal"/>
        <w:rPr/>
      </w:pPr>
      <w:r>
        <w:rPr/>
      </w:r>
    </w:p>
    <w:p>
      <w:pPr>
        <w:pStyle w:val="Normal"/>
        <w:rPr/>
      </w:pPr>
      <w:r>
        <w:rPr/>
        <w:t>There are several reasons for holding annual auctions.  First, it gives market participants the opportunity to buy PTRs for the year and get the equivalent of long-term firm transmission service, as defined by FERC.  Second, it enables the RTO to re-determine the maximum level of PTRs based on changes in both physical and market conditions. This reallocation serves as a dynamic market mechanism to help ensure nondiscriminatory open access and allows market participants to adjust their PTR holdings according to their changing needs.</w:t>
      </w:r>
    </w:p>
    <w:p>
      <w:pPr>
        <w:pStyle w:val="Normal"/>
        <w:rPr/>
      </w:pPr>
      <w:r>
        <w:rPr/>
      </w:r>
    </w:p>
    <w:p>
      <w:pPr>
        <w:pStyle w:val="Normal"/>
        <w:rPr/>
      </w:pPr>
      <w:r>
        <w:rPr/>
        <w:t>Conducting a PTR auction is the most economically efficient method of allocating transfer capability between market areas.  Those who place the highest value on the guarantee of firm service across the interface will secure PTRs.  This approach produces the maximum level of revenue (congestion rent) which is then applied to reduce the fixed cost of transmission access.</w:t>
      </w:r>
    </w:p>
    <w:p>
      <w:pPr>
        <w:pStyle w:val="Normal"/>
        <w:rPr/>
      </w:pPr>
      <w:r>
        <w:rPr/>
      </w:r>
    </w:p>
    <w:p>
      <w:pPr>
        <w:pStyle w:val="Normal"/>
        <w:rPr/>
      </w:pPr>
      <w:r>
        <w:rPr/>
        <w:t>Anyone will be able to participate in the auctions, subject to regulatory oversight, as long as eligibility requirements are met.  The most likely (though not only) purchasers of transmission rights will be load-serving entities ("LSEs").  The auctions will be open to generators, customers, marketers, energy service companies, independent power producers (IPPs), and, under some limited circumstances, the transmission owners themselves, but not the RTO.</w:t>
      </w:r>
    </w:p>
    <w:p>
      <w:pPr>
        <w:pStyle w:val="Normal"/>
        <w:rPr/>
      </w:pPr>
      <w:r>
        <w:rPr/>
      </w:r>
    </w:p>
    <w:p>
      <w:pPr>
        <w:pStyle w:val="Normal"/>
        <w:rPr/>
      </w:pPr>
      <w:r>
        <w:rPr/>
        <w:t>As described earlier, the RTO will release incremental capacity based on availability on a monthly basis. This will result in the existence of a short-term “primary” capacity rights market, which will augment the secondary market for PTRs and thereby allow full economic utilization of the transmission system.</w:t>
      </w:r>
    </w:p>
    <w:p>
      <w:pPr>
        <w:pStyle w:val="Normal"/>
        <w:rPr/>
      </w:pPr>
      <w:r>
        <w:rPr/>
      </w:r>
    </w:p>
    <w:p>
      <w:pPr>
        <w:pStyle w:val="Normal"/>
        <w:rPr>
          <w:u w:val="single"/>
        </w:rPr>
      </w:pPr>
      <w:r>
        <w:rPr>
          <w:u w:val="single"/>
        </w:rPr>
        <w:t>Auction Revenues</w:t>
      </w:r>
    </w:p>
    <w:p>
      <w:pPr>
        <w:pStyle w:val="Normal"/>
        <w:rPr/>
      </w:pPr>
      <w:r>
        <w:rPr/>
        <w:t>The revenues from PTR auctions will be returned to transmission service customers in the form of reduced access charges. That is, these revenues will pay down the transmission owner revenue requirements. This includes the revenues from incremental capacity auctions.  This will mitigate any increased costs faced by native load due to implementation of the CMS.</w:t>
      </w:r>
    </w:p>
    <w:p>
      <w:pPr>
        <w:pStyle w:val="Normal"/>
        <w:rPr/>
      </w:pPr>
      <w:r>
        <w:rPr/>
      </w:r>
    </w:p>
    <w:p>
      <w:pPr>
        <w:pStyle w:val="Normal"/>
        <w:rPr>
          <w:u w:val="single"/>
        </w:rPr>
      </w:pPr>
      <w:r>
        <mc:AlternateContent>
          <mc:Choice Requires="wps">
            <w:drawing>
              <wp:anchor behindDoc="0" distT="0" distB="0" distL="114935" distR="114935" simplePos="0" locked="0" layoutInCell="1" allowOverlap="1" relativeHeight="4">
                <wp:simplePos x="0" y="0"/>
                <wp:positionH relativeFrom="column">
                  <wp:posOffset>706755</wp:posOffset>
                </wp:positionH>
                <wp:positionV relativeFrom="paragraph">
                  <wp:posOffset>33655</wp:posOffset>
                </wp:positionV>
                <wp:extent cx="3782695" cy="0"/>
                <wp:effectExtent l="0" t="6350" r="0" b="6350"/>
                <wp:wrapNone/>
                <wp:docPr id="4" name=""/>
                <a:graphic xmlns:a="http://schemas.openxmlformats.org/drawingml/2006/main">
                  <a:graphicData uri="http://schemas.microsoft.com/office/word/2010/wordprocessingShape">
                    <wps:wsp>
                      <wps:cNvSpPr/>
                      <wps:spPr>
                        <a:xfrm>
                          <a:off x="0" y="0"/>
                          <a:ext cx="3782520" cy="0"/>
                        </a:xfrm>
                        <a:prstGeom prst="line">
                          <a:avLst/>
                        </a:prstGeom>
                        <a:ln w="12600">
                          <a:solidFill>
                            <a:srgbClr val="ffffff"/>
                          </a:solidFill>
                          <a:miter/>
                        </a:ln>
                      </wps:spPr>
                      <wps:style>
                        <a:lnRef idx="0"/>
                        <a:fillRef idx="0"/>
                        <a:effectRef idx="0"/>
                        <a:fontRef idx="minor"/>
                      </wps:style>
                      <wps:bodyPr/>
                    </wps:wsp>
                  </a:graphicData>
                </a:graphic>
              </wp:anchor>
            </w:drawing>
          </mc:Choice>
          <mc:Fallback>
            <w:pict>
              <v:line id="shape_0" from="55.65pt,2.65pt" to="353.45pt,2.65pt" stroked="t" o:allowincell="f" style="position:absolute">
                <v:stroke color="white" weight="1260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3352800</wp:posOffset>
                </wp:positionH>
                <wp:positionV relativeFrom="paragraph">
                  <wp:posOffset>-2540</wp:posOffset>
                </wp:positionV>
                <wp:extent cx="0" cy="1344295"/>
                <wp:effectExtent l="6350" t="0" r="6350" b="0"/>
                <wp:wrapNone/>
                <wp:docPr id="5" name=""/>
                <a:graphic xmlns:a="http://schemas.openxmlformats.org/drawingml/2006/main">
                  <a:graphicData uri="http://schemas.microsoft.com/office/word/2010/wordprocessingShape">
                    <wps:wsp>
                      <wps:cNvSpPr/>
                      <wps:spPr>
                        <a:xfrm>
                          <a:off x="0" y="0"/>
                          <a:ext cx="0" cy="1344240"/>
                        </a:xfrm>
                        <a:prstGeom prst="line">
                          <a:avLst/>
                        </a:prstGeom>
                        <a:ln w="12600">
                          <a:solidFill>
                            <a:srgbClr val="ffffff"/>
                          </a:solidFill>
                          <a:prstDash val="dash"/>
                          <a:miter/>
                        </a:ln>
                      </wps:spPr>
                      <wps:style>
                        <a:lnRef idx="0"/>
                        <a:fillRef idx="0"/>
                        <a:effectRef idx="0"/>
                        <a:fontRef idx="minor"/>
                      </wps:style>
                      <wps:bodyPr/>
                    </wps:wsp>
                  </a:graphicData>
                </a:graphic>
              </wp:anchor>
            </w:drawing>
          </mc:Choice>
          <mc:Fallback>
            <w:pict>
              <v:line id="shape_0" from="264pt,-0.2pt" to="264pt,105.6pt" stroked="t" o:allowincell="f" style="position:absolute">
                <v:stroke color="white" weight="1260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693420</wp:posOffset>
                </wp:positionH>
                <wp:positionV relativeFrom="paragraph">
                  <wp:posOffset>60325</wp:posOffset>
                </wp:positionV>
                <wp:extent cx="3275330" cy="0"/>
                <wp:effectExtent l="0" t="6350" r="0" b="6350"/>
                <wp:wrapNone/>
                <wp:docPr id="6" name=""/>
                <a:graphic xmlns:a="http://schemas.openxmlformats.org/drawingml/2006/main">
                  <a:graphicData uri="http://schemas.microsoft.com/office/word/2010/wordprocessingShape">
                    <wps:wsp>
                      <wps:cNvSpPr/>
                      <wps:spPr>
                        <a:xfrm flipH="1">
                          <a:off x="0" y="0"/>
                          <a:ext cx="3275280" cy="0"/>
                        </a:xfrm>
                        <a:prstGeom prst="line">
                          <a:avLst/>
                        </a:prstGeom>
                        <a:ln w="12600">
                          <a:solidFill>
                            <a:srgbClr val="ffffff"/>
                          </a:solidFill>
                          <a:prstDash val="dash"/>
                          <a:miter/>
                        </a:ln>
                      </wps:spPr>
                      <wps:style>
                        <a:lnRef idx="0"/>
                        <a:fillRef idx="0"/>
                        <a:effectRef idx="0"/>
                        <a:fontRef idx="minor"/>
                      </wps:style>
                      <wps:bodyPr/>
                    </wps:wsp>
                  </a:graphicData>
                </a:graphic>
              </wp:anchor>
            </w:drawing>
          </mc:Choice>
          <mc:Fallback>
            <w:pict>
              <v:line id="shape_0" from="54.6pt,4.75pt" to="312.45pt,4.75pt" stroked="t" o:allowincell="f" style="position:absolute;flip:x">
                <v:stroke color="white" weight="1260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698500</wp:posOffset>
                </wp:positionH>
                <wp:positionV relativeFrom="paragraph">
                  <wp:posOffset>18415</wp:posOffset>
                </wp:positionV>
                <wp:extent cx="2959100" cy="0"/>
                <wp:effectExtent l="0" t="6350" r="0" b="6350"/>
                <wp:wrapNone/>
                <wp:docPr id="7" name=""/>
                <a:graphic xmlns:a="http://schemas.openxmlformats.org/drawingml/2006/main">
                  <a:graphicData uri="http://schemas.microsoft.com/office/word/2010/wordprocessingShape">
                    <wps:wsp>
                      <wps:cNvSpPr/>
                      <wps:spPr>
                        <a:xfrm>
                          <a:off x="0" y="0"/>
                          <a:ext cx="2959200" cy="0"/>
                        </a:xfrm>
                        <a:prstGeom prst="line">
                          <a:avLst/>
                        </a:prstGeom>
                        <a:ln w="12600">
                          <a:solidFill>
                            <a:srgbClr val="ffffff"/>
                          </a:solidFill>
                          <a:prstDash val="sysDot"/>
                          <a:miter/>
                        </a:ln>
                      </wps:spPr>
                      <wps:style>
                        <a:lnRef idx="0"/>
                        <a:fillRef idx="0"/>
                        <a:effectRef idx="0"/>
                        <a:fontRef idx="minor"/>
                      </wps:style>
                      <wps:bodyPr/>
                    </wps:wsp>
                  </a:graphicData>
                </a:graphic>
              </wp:anchor>
            </w:drawing>
          </mc:Choice>
          <mc:Fallback>
            <w:pict>
              <v:line id="shape_0" from="55pt,1.45pt" to="287.95pt,1.45pt" stroked="t" o:allowincell="f" style="position:absolute">
                <v:stroke color="white" weight="12600" dashstyle="shortdot" joinstyle="miter" endcap="flat"/>
                <v:fill o:detectmouseclick="t" on="false"/>
                <w10:wrap type="none"/>
              </v:line>
            </w:pict>
          </mc:Fallback>
        </mc:AlternateContent>
      </w:r>
      <w:r>
        <w:rPr>
          <w:u w:val="single"/>
        </w:rPr>
        <w:t>Purchasing PTRs</w:t>
      </w:r>
      <w:r>
        <mc:AlternateContent>
          <mc:Choice Requires="wps">
            <w:drawing>
              <wp:anchor behindDoc="0" distT="0" distB="0" distL="114935" distR="114935" simplePos="0" locked="0" layoutInCell="1" allowOverlap="1" relativeHeight="7">
                <wp:simplePos x="0" y="0"/>
                <wp:positionH relativeFrom="column">
                  <wp:posOffset>4615180</wp:posOffset>
                </wp:positionH>
                <wp:positionV relativeFrom="paragraph">
                  <wp:posOffset>144145</wp:posOffset>
                </wp:positionV>
                <wp:extent cx="1137285" cy="323850"/>
                <wp:effectExtent l="0" t="0" r="0" b="0"/>
                <wp:wrapNone/>
                <wp:docPr id="8" name="Frame1"/>
                <a:graphic xmlns:a="http://schemas.openxmlformats.org/drawingml/2006/main">
                  <a:graphicData uri="http://schemas.microsoft.com/office/word/2010/wordprocessingShape">
                    <wps:wsp>
                      <wps:cNvSpPr txBox="1"/>
                      <wps:spPr>
                        <a:xfrm>
                          <a:off x="0" y="0"/>
                          <a:ext cx="1137285" cy="323850"/>
                        </a:xfrm>
                        <a:prstGeom prst="rect"/>
                        <a:solidFill>
                          <a:srgbClr val="FFFFFF">
                            <a:alpha val="0"/>
                          </a:srgbClr>
                        </a:solidFill>
                      </wps:spPr>
                      <wps:txbx>
                        <w:txbxContent>
                          <w:p>
                            <w:pPr>
                              <w:pStyle w:val="Normal"/>
                              <w:jc w:val="center"/>
                              <w:rPr>
                                <w:b/>
                                <w:color w:val="FFFFFF"/>
                                <w:sz w:val="32"/>
                              </w:rPr>
                            </w:pPr>
                            <w:r>
                              <w:rPr>
                                <w:b/>
                                <w:color w:val="FFFFFF"/>
                                <w:sz w:val="32"/>
                              </w:rPr>
                              <w:t>TTC [A-B]</w:t>
                            </w:r>
                          </w:p>
                        </w:txbxContent>
                      </wps:txbx>
                      <wps:bodyPr anchor="t" lIns="91440" tIns="45085" rIns="91440" bIns="45085">
                        <a:spAutoFit/>
                      </wps:bodyPr>
                    </wps:wsp>
                  </a:graphicData>
                </a:graphic>
              </wp:anchor>
            </w:drawing>
          </mc:Choice>
          <mc:Fallback>
            <w:pict>
              <v:rect fillcolor="#FFFFFF" style="position:absolute;rotation:-0;width:89.55pt;height:25.5pt;mso-wrap-distance-left:9.05pt;mso-wrap-distance-right:9.05pt;mso-wrap-distance-top:0pt;mso-wrap-distance-bottom:0pt;margin-top:11.35pt;mso-position-vertical-relative:text;margin-left:363.4pt;mso-position-horizontal-relative:text">
                <v:fill opacity="0f"/>
                <v:textbox inset="0.1in,0.0493055555555556in,0.1in,0.0493055555555556in">
                  <w:txbxContent>
                    <w:p>
                      <w:pPr>
                        <w:pStyle w:val="Normal"/>
                        <w:jc w:val="center"/>
                        <w:rPr>
                          <w:b/>
                          <w:color w:val="FFFFFF"/>
                          <w:sz w:val="32"/>
                        </w:rPr>
                      </w:pPr>
                      <w:r>
                        <w:rPr>
                          <w:b/>
                          <w:color w:val="FFFFFF"/>
                          <w:sz w:val="32"/>
                        </w:rPr>
                        <w:t>TTC [A-B]</w:t>
                      </w:r>
                    </w:p>
                  </w:txbxContent>
                </v:textbox>
                <w10:wrap type="none"/>
              </v:rect>
            </w:pict>
          </mc:Fallback>
        </mc:AlternateContent>
      </w:r>
    </w:p>
    <w:p>
      <w:pPr>
        <w:pStyle w:val="Normal"/>
        <w:rPr/>
      </w:pPr>
      <w:r>
        <w:rPr/>
        <w:t xml:space="preserve">Market participants will purchase PTRs based on the requirements of their energy transactions. Participants may purchase PTRs independent of associated energy transactions, so that they have the flexibility to acquire their necessary resources anytime up until real-time (hour-ahead). In order to discourage hoarding, PTRs are subject to a ‘use it or lose it’ rule.  Any PTRs not scheduled with an energy transaction by the time trading in the forward market closed would revert to the RTO without compensation.  This means that PTRs would have no value once the forward market closed and therefore could not be held as a strictly financial instrument, unless they were actually being used to facilitate a transaction.  Market participants holding unneeded PTRs would be free to sell them prior to the closing of the forward market. </w:t>
      </w:r>
    </w:p>
    <w:p>
      <w:pPr>
        <w:pStyle w:val="Normal"/>
        <w:rPr/>
      </w:pPr>
      <w:r>
        <w:rPr/>
      </w:r>
    </w:p>
    <w:p>
      <w:pPr>
        <w:pStyle w:val="Normal"/>
        <w:rPr>
          <w:i/>
          <w:i/>
        </w:rPr>
      </w:pPr>
      <w:r>
        <w:rPr>
          <w:i/>
        </w:rPr>
        <w:t>Implementation Requirements (RTO and Control Area)</w:t>
      </w:r>
    </w:p>
    <w:p>
      <w:pPr>
        <w:pStyle w:val="Normal"/>
        <w:rPr>
          <w:i/>
          <w:i/>
        </w:rPr>
      </w:pPr>
      <w:r>
        <w:rPr>
          <w:i/>
        </w:rPr>
      </w:r>
    </w:p>
    <w:p>
      <w:pPr>
        <w:pStyle w:val="Header"/>
        <w:tabs>
          <w:tab w:val="clear" w:pos="4320"/>
          <w:tab w:val="clear" w:pos="8640"/>
        </w:tabs>
        <w:rPr/>
      </w:pPr>
      <w:r>
        <w:rPr/>
        <w:t>With REAL Flow, the administrative operating costs for the RTO will be likely lower than with a centralized pool. The initial capital costs will undoubtedly also be less as there will be no need to replace all of the monitoring, communication and scheduling systems currently in use with a totally new system as was done in California.  While California combined only 3 systems, RTOs under discussion today would require the collapsing of 15 or more control areas.  The development of hierarchical control logic based on common (and limited) control information flows between the existing control areas and the RTO will allow for change and aggregation in control structure to evolve over time, as systems require replacement. The retention of control areas and some of their functions will significantly ease the transition to REAL Flow and allow a reasonable time frame for implementation.</w:t>
      </w:r>
    </w:p>
    <w:p>
      <w:pPr>
        <w:pStyle w:val="Header"/>
        <w:tabs>
          <w:tab w:val="clear" w:pos="4320"/>
          <w:tab w:val="clear" w:pos="8640"/>
        </w:tabs>
        <w:rPr/>
      </w:pPr>
      <w:r>
        <w:rPr/>
      </w:r>
    </w:p>
    <w:p>
      <w:pPr>
        <w:pStyle w:val="Header"/>
        <w:tabs>
          <w:tab w:val="clear" w:pos="4320"/>
          <w:tab w:val="clear" w:pos="8640"/>
        </w:tabs>
        <w:rPr/>
      </w:pPr>
      <w:r>
        <w:rPr/>
        <w:t>The following systems and software will have to be developed for the RTO:</w:t>
      </w:r>
      <w:r>
        <w:rPr>
          <w:rStyle w:val="FootnoteCharacters"/>
          <w:rStyle w:val="FootnoteReference"/>
        </w:rPr>
        <w:footnoteReference w:id="5"/>
      </w:r>
    </w:p>
    <w:p>
      <w:pPr>
        <w:pStyle w:val="Header"/>
        <w:numPr>
          <w:ilvl w:val="0"/>
          <w:numId w:val="3"/>
        </w:numPr>
        <w:tabs>
          <w:tab w:val="clear" w:pos="4320"/>
          <w:tab w:val="clear" w:pos="8640"/>
        </w:tabs>
        <w:rPr/>
      </w:pPr>
      <w:r>
        <w:rPr/>
        <w:t>Communication with control areas to receive aggregated system state, resource requests and control signals and sending dynamic schedules to the control areas.</w:t>
      </w:r>
    </w:p>
    <w:p>
      <w:pPr>
        <w:pStyle w:val="Header"/>
        <w:numPr>
          <w:ilvl w:val="0"/>
          <w:numId w:val="3"/>
        </w:numPr>
        <w:tabs>
          <w:tab w:val="clear" w:pos="4320"/>
          <w:tab w:val="clear" w:pos="8640"/>
        </w:tabs>
        <w:rPr/>
      </w:pPr>
      <w:r>
        <w:rPr/>
        <w:t>RTO redispatch procedures and balancing and ancillary service stack management.</w:t>
      </w:r>
    </w:p>
    <w:p>
      <w:pPr>
        <w:pStyle w:val="Header"/>
        <w:numPr>
          <w:ilvl w:val="0"/>
          <w:numId w:val="3"/>
        </w:numPr>
        <w:tabs>
          <w:tab w:val="clear" w:pos="4320"/>
          <w:tab w:val="clear" w:pos="8640"/>
        </w:tabs>
        <w:rPr/>
      </w:pPr>
      <w:r>
        <w:rPr/>
        <w:t xml:space="preserve">Communication with transmission, energy and ancillary exchanges. </w:t>
      </w:r>
    </w:p>
    <w:p>
      <w:pPr>
        <w:pStyle w:val="Header"/>
        <w:numPr>
          <w:ilvl w:val="0"/>
          <w:numId w:val="3"/>
        </w:numPr>
        <w:tabs>
          <w:tab w:val="clear" w:pos="4320"/>
          <w:tab w:val="clear" w:pos="8640"/>
        </w:tabs>
        <w:rPr/>
      </w:pPr>
      <w:r>
        <w:rPr/>
        <w:t>Communication with other RTOs.</w:t>
      </w:r>
    </w:p>
    <w:p>
      <w:pPr>
        <w:pStyle w:val="Header"/>
        <w:numPr>
          <w:ilvl w:val="0"/>
          <w:numId w:val="3"/>
        </w:numPr>
        <w:tabs>
          <w:tab w:val="clear" w:pos="4320"/>
          <w:tab w:val="clear" w:pos="8640"/>
        </w:tabs>
        <w:rPr/>
      </w:pPr>
      <w:r>
        <w:rPr/>
        <w:t>Settlements.</w:t>
      </w:r>
    </w:p>
    <w:p>
      <w:pPr>
        <w:pStyle w:val="Header"/>
        <w:numPr>
          <w:ilvl w:val="0"/>
          <w:numId w:val="3"/>
        </w:numPr>
        <w:tabs>
          <w:tab w:val="clear" w:pos="4320"/>
          <w:tab w:val="clear" w:pos="8640"/>
        </w:tabs>
        <w:rPr/>
      </w:pPr>
      <w:r>
        <w:rPr/>
        <w:t>Load forecasting procedures and models.</w:t>
      </w:r>
    </w:p>
    <w:p>
      <w:pPr>
        <w:pStyle w:val="Header"/>
        <w:tabs>
          <w:tab w:val="clear" w:pos="4320"/>
          <w:tab w:val="clear" w:pos="8640"/>
        </w:tabs>
        <w:ind w:start="360" w:end="0"/>
        <w:rPr/>
      </w:pPr>
      <w:r>
        <w:rPr/>
      </w:r>
    </w:p>
    <w:p>
      <w:pPr>
        <w:pStyle w:val="Header"/>
        <w:tabs>
          <w:tab w:val="clear" w:pos="4320"/>
          <w:tab w:val="clear" w:pos="8640"/>
        </w:tabs>
        <w:rPr/>
      </w:pPr>
      <w:r>
        <w:rPr/>
        <w:t xml:space="preserve">Any complementary costs associated with the establishment of the independent forward market exchanges would be born by the developers of those exchanges.  </w:t>
      </w:r>
    </w:p>
    <w:p>
      <w:pPr>
        <w:pStyle w:val="Header"/>
        <w:tabs>
          <w:tab w:val="clear" w:pos="4320"/>
          <w:tab w:val="clear" w:pos="8640"/>
        </w:tabs>
        <w:ind w:start="360" w:end="0"/>
        <w:rPr/>
      </w:pPr>
      <w:r>
        <w:rPr/>
      </w:r>
    </w:p>
    <w:p>
      <w:pPr>
        <w:pStyle w:val="Header"/>
        <w:tabs>
          <w:tab w:val="clear" w:pos="4320"/>
          <w:tab w:val="clear" w:pos="8640"/>
        </w:tabs>
        <w:rPr/>
      </w:pPr>
      <w:r>
        <w:rPr/>
        <w:t>Most of the above communication and software systems will be required under the any model. The following costs would NOT have to be incurred, which would under a centralized pool:</w:t>
      </w:r>
    </w:p>
    <w:p>
      <w:pPr>
        <w:pStyle w:val="Header"/>
        <w:numPr>
          <w:ilvl w:val="0"/>
          <w:numId w:val="8"/>
        </w:numPr>
        <w:tabs>
          <w:tab w:val="clear" w:pos="4320"/>
          <w:tab w:val="clear" w:pos="8640"/>
        </w:tabs>
        <w:rPr/>
      </w:pPr>
      <w:r>
        <w:rPr/>
        <w:t>Centralization of all metering and data acquisition system from control areas.</w:t>
      </w:r>
    </w:p>
    <w:p>
      <w:pPr>
        <w:pStyle w:val="Header"/>
        <w:numPr>
          <w:ilvl w:val="0"/>
          <w:numId w:val="8"/>
        </w:numPr>
        <w:tabs>
          <w:tab w:val="clear" w:pos="4320"/>
          <w:tab w:val="clear" w:pos="8640"/>
        </w:tabs>
        <w:rPr/>
      </w:pPr>
      <w:r>
        <w:rPr/>
        <w:t>Pooling of institutional structures across RTO.</w:t>
      </w:r>
    </w:p>
    <w:p>
      <w:pPr>
        <w:pStyle w:val="Header"/>
        <w:numPr>
          <w:ilvl w:val="0"/>
          <w:numId w:val="8"/>
        </w:numPr>
        <w:tabs>
          <w:tab w:val="clear" w:pos="4320"/>
          <w:tab w:val="clear" w:pos="8640"/>
        </w:tabs>
        <w:rPr/>
      </w:pPr>
      <w:r>
        <w:rPr/>
        <w:t>Staff re-training and relocation required in the establishment of a single control area.</w:t>
      </w:r>
    </w:p>
    <w:p>
      <w:pPr>
        <w:pStyle w:val="Header"/>
        <w:tabs>
          <w:tab w:val="clear" w:pos="4320"/>
          <w:tab w:val="clear" w:pos="8640"/>
        </w:tabs>
        <w:rPr/>
      </w:pPr>
      <w:r>
        <w:rPr/>
      </w:r>
    </w:p>
    <w:p>
      <w:pPr>
        <w:pStyle w:val="Header"/>
        <w:tabs>
          <w:tab w:val="clear" w:pos="4320"/>
          <w:tab w:val="clear" w:pos="8640"/>
        </w:tabs>
        <w:rPr/>
      </w:pPr>
      <w:r>
        <w:rPr/>
        <w:t>The indirect costs avoided from implementing REAL Flow cannot be overemphasized.  With the implementation of a centralized pool structure, all market participants need to climb a learning curve to understand and participate in a centralized pool market structure. Suppliers who have made purchasing decisions based on bilateral contracts will have to learn to collapse their complex cost functions into a single set of bids. Lack of sophistication in bidding strategies can disadvantage market participants.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rPr/>
      </w:pPr>
      <w:bookmarkStart w:id="9" w:name="__RefHeading___Toc488204486"/>
      <w:r>
        <w:rPr/>
        <w:t>A Day in the Life: How the system is operated</w:t>
      </w:r>
      <w:bookmarkEnd w:id="9"/>
      <w:r>
        <w:rPr/>
        <w:t xml:space="preserve"> </w:t>
      </w:r>
    </w:p>
    <w:p>
      <w:pPr>
        <w:pStyle w:val="Normal"/>
        <w:rPr/>
      </w:pPr>
      <w:r>
        <w:rPr/>
        <w:t>The following outline brings together, at a very basic level, the various aspects of REAL Flow into the actual day-to-day workings of the RTO, the market and market participants.</w:t>
      </w:r>
    </w:p>
    <w:p>
      <w:pPr>
        <w:pStyle w:val="Normal"/>
        <w:rPr/>
      </w:pPr>
      <w:r>
        <w:rPr/>
        <w:t>Figures 3-6 describe the information flow between the markets, the RTO and control areas at different time intervals.</w:t>
      </w:r>
    </w:p>
    <w:p>
      <w:pPr>
        <w:pStyle w:val="Normal"/>
        <w:rPr/>
      </w:pPr>
      <w:r>
        <w:rPr/>
      </w:r>
    </w:p>
    <w:p>
      <w:pPr>
        <w:pStyle w:val="Normal"/>
        <w:rPr>
          <w:u w:val="single"/>
        </w:rPr>
      </w:pPr>
      <w:r>
        <w:rPr>
          <w:u w:val="single"/>
        </w:rPr>
        <w:t>DAY-AHEAD</w:t>
      </w:r>
    </w:p>
    <w:p>
      <w:pPr>
        <w:pStyle w:val="Normal"/>
        <w:rPr>
          <w:u w:val="single"/>
        </w:rPr>
      </w:pPr>
      <w:r>
        <w:rPr>
          <w:u w:val="single"/>
        </w:rPr>
      </w:r>
    </w:p>
    <w:p>
      <w:pPr>
        <w:pStyle w:val="Normal"/>
        <w:jc w:val="center"/>
        <w:rPr>
          <w:rFonts w:ascii="Arial" w:hAnsi="Arial" w:cs="Arial"/>
          <w:sz w:val="20"/>
        </w:rPr>
      </w:pPr>
      <w:r>
        <w:drawing>
          <wp:anchor behindDoc="0" distT="0" distB="0" distL="114935" distR="114935" simplePos="0" locked="0" layoutInCell="0" allowOverlap="1" relativeHeight="11">
            <wp:simplePos x="0" y="0"/>
            <wp:positionH relativeFrom="column">
              <wp:posOffset>0</wp:posOffset>
            </wp:positionH>
            <wp:positionV relativeFrom="paragraph">
              <wp:posOffset>154305</wp:posOffset>
            </wp:positionV>
            <wp:extent cx="5483225" cy="3137535"/>
            <wp:effectExtent l="0" t="0" r="0" b="0"/>
            <wp:wrapTopAndBottom/>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6"/>
                    <a:srcRect l="-4" t="-8" r="-4" b="-8"/>
                    <a:stretch>
                      <a:fillRect/>
                    </a:stretch>
                  </pic:blipFill>
                  <pic:spPr bwMode="auto">
                    <a:xfrm>
                      <a:off x="0" y="0"/>
                      <a:ext cx="5483225" cy="3137535"/>
                    </a:xfrm>
                    <a:prstGeom prst="rect">
                      <a:avLst/>
                    </a:prstGeom>
                    <a:noFill/>
                  </pic:spPr>
                </pic:pic>
              </a:graphicData>
            </a:graphic>
          </wp:anchor>
        </w:drawing>
      </w:r>
      <w:r>
        <w:rPr>
          <w:rFonts w:cs="Arial" w:ascii="Arial" w:hAnsi="Arial"/>
          <w:sz w:val="20"/>
        </w:rPr>
        <w:t xml:space="preserve">Figure 3: Information Flow - Scheduling (Day-Ahead) </w:t>
      </w:r>
    </w:p>
    <w:p>
      <w:pPr>
        <w:pStyle w:val="Normal"/>
        <w:jc w:val="center"/>
        <w:rPr>
          <w:rFonts w:ascii="Arial" w:hAnsi="Arial" w:cs="Arial"/>
          <w:sz w:val="20"/>
        </w:rPr>
      </w:pPr>
      <w:r>
        <w:rPr>
          <w:rFonts w:cs="Arial" w:ascii="Arial" w:hAnsi="Arial"/>
          <w:sz w:val="20"/>
        </w:rPr>
      </w:r>
    </w:p>
    <w:p>
      <w:pPr>
        <w:pStyle w:val="Normal"/>
        <w:rPr>
          <w:rFonts w:ascii="Arial" w:hAnsi="Arial" w:cs="Arial"/>
          <w:sz w:val="20"/>
          <w:u w:val="single"/>
        </w:rPr>
      </w:pPr>
      <w:r>
        <w:rPr>
          <w:rFonts w:cs="Arial" w:ascii="Arial" w:hAnsi="Arial"/>
          <w:sz w:val="20"/>
          <w:u w:val="single"/>
        </w:rPr>
      </w:r>
    </w:p>
    <w:p>
      <w:pPr>
        <w:pStyle w:val="Normal"/>
        <w:numPr>
          <w:ilvl w:val="0"/>
          <w:numId w:val="4"/>
        </w:numPr>
        <w:rPr>
          <w:b/>
        </w:rPr>
      </w:pPr>
      <w:r>
        <w:rPr>
          <w:b/>
        </w:rPr>
        <w:t>From the Perspective of the RTO:</w:t>
      </w:r>
    </w:p>
    <w:p>
      <w:pPr>
        <w:pStyle w:val="Normal"/>
        <w:numPr>
          <w:ilvl w:val="0"/>
          <w:numId w:val="6"/>
        </w:numPr>
        <w:tabs>
          <w:tab w:val="left" w:pos="720" w:leader="none"/>
        </w:tabs>
        <w:ind w:hanging="360" w:start="720" w:end="0"/>
        <w:rPr/>
      </w:pPr>
      <w:r>
        <w:rPr/>
        <w:t>Receives and verify schedules from market participants, including appropriate PTRs, ancillary and loss requirements.</w:t>
      </w:r>
    </w:p>
    <w:p>
      <w:pPr>
        <w:pStyle w:val="Normal"/>
        <w:numPr>
          <w:ilvl w:val="0"/>
          <w:numId w:val="6"/>
        </w:numPr>
        <w:tabs>
          <w:tab w:val="left" w:pos="720" w:leader="none"/>
        </w:tabs>
        <w:ind w:hanging="360" w:start="720" w:end="0"/>
        <w:rPr/>
      </w:pPr>
      <w:r>
        <w:rPr/>
        <w:t>Calculates distribution factors and TTCs on CSFs based on aggregated system state data provided by control areas.</w:t>
      </w:r>
    </w:p>
    <w:p>
      <w:pPr>
        <w:pStyle w:val="Normal"/>
        <w:numPr>
          <w:ilvl w:val="0"/>
          <w:numId w:val="6"/>
        </w:numPr>
        <w:tabs>
          <w:tab w:val="left" w:pos="720" w:leader="none"/>
        </w:tabs>
        <w:ind w:hanging="360" w:start="720" w:end="0"/>
        <w:rPr/>
      </w:pPr>
      <w:r>
        <w:rPr/>
        <w:t>Arranges for capacity release and buy-back based on discrepancies between schedules, counter-flows and CSF TTCs.</w:t>
      </w:r>
    </w:p>
    <w:p>
      <w:pPr>
        <w:pStyle w:val="Normal"/>
        <w:numPr>
          <w:ilvl w:val="0"/>
          <w:numId w:val="6"/>
        </w:numPr>
        <w:tabs>
          <w:tab w:val="left" w:pos="720" w:leader="none"/>
        </w:tabs>
        <w:ind w:hanging="360" w:start="720" w:end="0"/>
        <w:rPr/>
      </w:pPr>
      <w:r>
        <w:rPr/>
        <w:t>Calculates load forecast and posts updated ancillary service and loss requirements in the exchanges, (for e.g., if short by a significant margin).</w:t>
      </w:r>
    </w:p>
    <w:p>
      <w:pPr>
        <w:pStyle w:val="Normal"/>
        <w:numPr>
          <w:ilvl w:val="0"/>
          <w:numId w:val="6"/>
        </w:numPr>
        <w:tabs>
          <w:tab w:val="left" w:pos="720" w:leader="none"/>
        </w:tabs>
        <w:ind w:hanging="360" w:start="720" w:end="0"/>
        <w:rPr/>
      </w:pPr>
      <w:r>
        <w:rPr/>
        <w:t>Develops operating plans for the day with control areas, including determining the balancing energy stacks, decides which resources to ramp based on cost of resources in stacks (for balancing, reserves and regulation).</w:t>
      </w:r>
    </w:p>
    <w:p>
      <w:pPr>
        <w:pStyle w:val="Normal"/>
        <w:numPr>
          <w:ilvl w:val="0"/>
          <w:numId w:val="6"/>
        </w:numPr>
        <w:tabs>
          <w:tab w:val="left" w:pos="720" w:leader="none"/>
        </w:tabs>
        <w:ind w:hanging="360" w:start="720" w:end="0"/>
        <w:rPr/>
      </w:pPr>
      <w:r>
        <w:rPr/>
        <w:t>Based on balanced schedules determines if any significant congestion exists in the remaining (non-CSF) system due to unexpected outages. Develops preliminary redispatch plan for next day with ancillary service stacks, if necessary.</w:t>
      </w:r>
    </w:p>
    <w:p>
      <w:pPr>
        <w:pStyle w:val="Normal"/>
        <w:ind w:start="360" w:end="0"/>
        <w:rPr/>
      </w:pPr>
      <w:r>
        <w:rPr/>
      </w:r>
    </w:p>
    <w:p>
      <w:pPr>
        <w:pStyle w:val="Normal"/>
        <w:ind w:start="360" w:end="0"/>
        <w:rPr/>
      </w:pPr>
      <w:r>
        <w:rPr/>
      </w:r>
    </w:p>
    <w:p>
      <w:pPr>
        <w:pStyle w:val="Normal"/>
        <w:numPr>
          <w:ilvl w:val="0"/>
          <w:numId w:val="10"/>
        </w:numPr>
        <w:rPr>
          <w:b/>
        </w:rPr>
      </w:pPr>
      <w:r>
        <w:rPr>
          <w:b/>
        </w:rPr>
        <w:t>From the Perspective of Market Exchanges:</w:t>
      </w:r>
    </w:p>
    <w:p>
      <w:pPr>
        <w:pStyle w:val="Normal"/>
        <w:numPr>
          <w:ilvl w:val="0"/>
          <w:numId w:val="6"/>
        </w:numPr>
        <w:tabs>
          <w:tab w:val="left" w:pos="720" w:leader="none"/>
        </w:tabs>
        <w:ind w:hanging="360" w:start="720" w:end="0"/>
        <w:rPr/>
      </w:pPr>
      <w:r>
        <w:rPr/>
        <w:t xml:space="preserve">Receive and post updated TTC and ATC information from the RTO. </w:t>
      </w:r>
    </w:p>
    <w:p>
      <w:pPr>
        <w:pStyle w:val="Normal"/>
        <w:numPr>
          <w:ilvl w:val="0"/>
          <w:numId w:val="6"/>
        </w:numPr>
        <w:tabs>
          <w:tab w:val="left" w:pos="720" w:leader="none"/>
        </w:tabs>
        <w:ind w:hanging="360" w:start="720" w:end="0"/>
        <w:rPr/>
      </w:pPr>
      <w:r>
        <w:rPr/>
        <w:t xml:space="preserve">Receive and post updated PTR requirements (if any). </w:t>
      </w:r>
    </w:p>
    <w:p>
      <w:pPr>
        <w:pStyle w:val="Normal"/>
        <w:numPr>
          <w:ilvl w:val="0"/>
          <w:numId w:val="6"/>
        </w:numPr>
        <w:tabs>
          <w:tab w:val="left" w:pos="720" w:leader="none"/>
        </w:tabs>
        <w:ind w:hanging="360" w:start="720" w:end="0"/>
        <w:rPr/>
      </w:pPr>
      <w:r>
        <w:rPr/>
        <w:t>Verify and send schedules to the RTO</w:t>
      </w:r>
    </w:p>
    <w:p>
      <w:pPr>
        <w:pStyle w:val="Normal"/>
        <w:numPr>
          <w:ilvl w:val="0"/>
          <w:numId w:val="6"/>
        </w:numPr>
        <w:tabs>
          <w:tab w:val="left" w:pos="720" w:leader="none"/>
        </w:tabs>
        <w:ind w:hanging="360" w:start="720" w:end="0"/>
        <w:rPr/>
      </w:pPr>
      <w:r>
        <w:rPr/>
      </w:r>
    </w:p>
    <w:p>
      <w:pPr>
        <w:pStyle w:val="Normal"/>
        <w:numPr>
          <w:ilvl w:val="0"/>
          <w:numId w:val="6"/>
        </w:numPr>
        <w:tabs>
          <w:tab w:val="left" w:pos="720" w:leader="none"/>
        </w:tabs>
        <w:ind w:hanging="360" w:start="720" w:end="0"/>
        <w:rPr/>
      </w:pPr>
      <w:r>
        <w:rPr/>
        <w:t>Continuously facilitate trades between market participants for all tradable products.</w:t>
      </w:r>
    </w:p>
    <w:p>
      <w:pPr>
        <w:pStyle w:val="Normal"/>
        <w:numPr>
          <w:ilvl w:val="0"/>
          <w:numId w:val="6"/>
        </w:numPr>
        <w:tabs>
          <w:tab w:val="left" w:pos="720" w:leader="none"/>
        </w:tabs>
        <w:ind w:hanging="360" w:start="720" w:end="0"/>
        <w:rPr/>
      </w:pPr>
      <w:r>
        <w:rPr/>
        <w:t>Post currently traded prices for all products, including hub prices for energy</w:t>
      </w:r>
    </w:p>
    <w:p>
      <w:pPr>
        <w:pStyle w:val="Normal"/>
        <w:ind w:start="360" w:end="0"/>
        <w:rPr/>
      </w:pPr>
      <w:r>
        <w:rPr/>
      </w:r>
    </w:p>
    <w:p>
      <w:pPr>
        <w:pStyle w:val="Normal"/>
        <w:numPr>
          <w:ilvl w:val="0"/>
          <w:numId w:val="10"/>
        </w:numPr>
        <w:rPr>
          <w:b/>
        </w:rPr>
      </w:pPr>
      <w:r>
        <w:rPr>
          <w:b/>
        </w:rPr>
        <w:t>From the Perspective of Market Participants:</w:t>
      </w:r>
    </w:p>
    <w:p>
      <w:pPr>
        <w:pStyle w:val="Normal"/>
        <w:numPr>
          <w:ilvl w:val="0"/>
          <w:numId w:val="6"/>
        </w:numPr>
        <w:tabs>
          <w:tab w:val="left" w:pos="720" w:leader="none"/>
        </w:tabs>
        <w:ind w:hanging="360" w:start="720" w:end="0"/>
        <w:rPr/>
      </w:pPr>
      <w:r>
        <w:rPr/>
        <w:t>Submit schedules for portfolio of energy contracts, with related PTRs, ancillary service purchases and related losses</w:t>
      </w:r>
    </w:p>
    <w:p>
      <w:pPr>
        <w:pStyle w:val="Normal"/>
        <w:numPr>
          <w:ilvl w:val="0"/>
          <w:numId w:val="6"/>
        </w:numPr>
        <w:tabs>
          <w:tab w:val="left" w:pos="720" w:leader="none"/>
        </w:tabs>
        <w:ind w:hanging="360" w:start="720" w:end="0"/>
        <w:rPr/>
      </w:pPr>
      <w:r>
        <w:rPr/>
        <w:t>Calculate and submit desired inc and dec bids from generation portfolios</w:t>
      </w:r>
    </w:p>
    <w:p>
      <w:pPr>
        <w:pStyle w:val="Normal"/>
        <w:rPr/>
      </w:pPr>
      <w:r>
        <w:rPr/>
      </w:r>
    </w:p>
    <w:p>
      <w:pPr>
        <w:pStyle w:val="Normal"/>
        <w:rPr>
          <w:u w:val="single"/>
        </w:rPr>
      </w:pPr>
      <w:r>
        <w:rPr>
          <w:u w:val="single"/>
        </w:rPr>
        <w:t>ADJUSTMENTS (DAY-OF)</w:t>
      </w:r>
    </w:p>
    <w:p>
      <w:pPr>
        <w:pStyle w:val="Normal"/>
        <w:rPr>
          <w:u w:val="single"/>
          <w:lang w:val="en-CA"/>
        </w:rPr>
      </w:pPr>
      <w:r>
        <w:rPr>
          <w:u w:val="single"/>
          <w:lang w:val="en-CA"/>
        </w:rPr>
        <w:drawing>
          <wp:anchor behindDoc="0" distT="0" distB="0" distL="114935" distR="114935" simplePos="0" locked="0" layoutInCell="0" allowOverlap="1" relativeHeight="12">
            <wp:simplePos x="0" y="0"/>
            <wp:positionH relativeFrom="column">
              <wp:posOffset>48895</wp:posOffset>
            </wp:positionH>
            <wp:positionV relativeFrom="paragraph">
              <wp:posOffset>342265</wp:posOffset>
            </wp:positionV>
            <wp:extent cx="5483225" cy="3137535"/>
            <wp:effectExtent l="0" t="0" r="0" b="0"/>
            <wp:wrapTopAndBottom/>
            <wp:docPr id="10"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 descr="" title=""/>
                    <pic:cNvPicPr>
                      <a:picLocks noChangeAspect="1" noChangeArrowheads="1"/>
                    </pic:cNvPicPr>
                  </pic:nvPicPr>
                  <pic:blipFill>
                    <a:blip r:embed="rId7"/>
                    <a:srcRect l="-4" t="-8" r="-4" b="-8"/>
                    <a:stretch>
                      <a:fillRect/>
                    </a:stretch>
                  </pic:blipFill>
                  <pic:spPr bwMode="auto">
                    <a:xfrm>
                      <a:off x="0" y="0"/>
                      <a:ext cx="5483225" cy="3137535"/>
                    </a:xfrm>
                    <a:prstGeom prst="rect">
                      <a:avLst/>
                    </a:prstGeom>
                    <a:noFill/>
                  </pic:spPr>
                </pic:pic>
              </a:graphicData>
            </a:graphic>
          </wp:anchor>
        </w:drawing>
      </w:r>
    </w:p>
    <w:p>
      <w:pPr>
        <w:pStyle w:val="Normal"/>
        <w:jc w:val="center"/>
        <w:rPr>
          <w:rFonts w:ascii="Arial" w:hAnsi="Arial" w:cs="Arial"/>
          <w:sz w:val="20"/>
        </w:rPr>
      </w:pPr>
      <w:r>
        <w:rPr>
          <w:rFonts w:cs="Arial" w:ascii="Arial" w:hAnsi="Arial"/>
          <w:sz w:val="20"/>
        </w:rPr>
        <w:t>Figure 4: Information Flow - Adjustments (Day of)</w:t>
      </w:r>
    </w:p>
    <w:p>
      <w:pPr>
        <w:pStyle w:val="Normal"/>
        <w:rPr>
          <w:rFonts w:ascii="Arial" w:hAnsi="Arial" w:cs="Arial"/>
          <w:sz w:val="20"/>
        </w:rPr>
      </w:pPr>
      <w:r>
        <w:rPr>
          <w:rFonts w:cs="Arial" w:ascii="Arial" w:hAnsi="Arial"/>
          <w:sz w:val="20"/>
        </w:rPr>
      </w:r>
    </w:p>
    <w:p>
      <w:pPr>
        <w:pStyle w:val="Normal"/>
        <w:rPr/>
      </w:pPr>
      <w:r>
        <w:rPr/>
      </w:r>
    </w:p>
    <w:p>
      <w:pPr>
        <w:pStyle w:val="Normal"/>
        <w:numPr>
          <w:ilvl w:val="0"/>
          <w:numId w:val="4"/>
        </w:numPr>
        <w:rPr>
          <w:b/>
        </w:rPr>
      </w:pPr>
      <w:r>
        <w:rPr>
          <w:b/>
        </w:rPr>
        <w:t>From the Perspective of the RTO:</w:t>
      </w:r>
    </w:p>
    <w:p>
      <w:pPr>
        <w:pStyle w:val="Normal"/>
        <w:numPr>
          <w:ilvl w:val="0"/>
          <w:numId w:val="6"/>
        </w:numPr>
        <w:tabs>
          <w:tab w:val="left" w:pos="720" w:leader="none"/>
        </w:tabs>
        <w:ind w:hanging="360" w:start="720" w:end="0"/>
        <w:rPr/>
      </w:pPr>
      <w:r>
        <w:rPr/>
        <w:t>Receives and incorporates continuous adjustments to schedules submitted by participants.</w:t>
      </w:r>
    </w:p>
    <w:p>
      <w:pPr>
        <w:pStyle w:val="Normal"/>
        <w:numPr>
          <w:ilvl w:val="0"/>
          <w:numId w:val="6"/>
        </w:numPr>
        <w:tabs>
          <w:tab w:val="left" w:pos="720" w:leader="none"/>
        </w:tabs>
        <w:ind w:hanging="360" w:start="720" w:end="0"/>
        <w:rPr/>
      </w:pPr>
      <w:r>
        <w:rPr/>
        <w:t>In the event of sudden but sustained losses in CSF capacity, derate and reallocates PTRs (pro-rata) among rights holders.</w:t>
      </w:r>
    </w:p>
    <w:p>
      <w:pPr>
        <w:pStyle w:val="Normal"/>
        <w:numPr>
          <w:ilvl w:val="0"/>
          <w:numId w:val="6"/>
        </w:numPr>
        <w:tabs>
          <w:tab w:val="left" w:pos="720" w:leader="none"/>
        </w:tabs>
        <w:ind w:hanging="360" w:start="720" w:end="0"/>
        <w:rPr/>
      </w:pPr>
      <w:r>
        <w:rPr/>
        <w:t>Procures any deficient ancillary services using call contracts in the ancillary exchange.</w:t>
      </w:r>
    </w:p>
    <w:p>
      <w:pPr>
        <w:pStyle w:val="Normal"/>
        <w:ind w:start="360" w:end="0"/>
        <w:rPr/>
      </w:pPr>
      <w:r>
        <w:rPr/>
      </w:r>
    </w:p>
    <w:p>
      <w:pPr>
        <w:pStyle w:val="Normal"/>
        <w:ind w:start="360" w:end="0"/>
        <w:rPr/>
      </w:pPr>
      <w:r>
        <w:rPr/>
      </w:r>
    </w:p>
    <w:p>
      <w:pPr>
        <w:pStyle w:val="Normal"/>
        <w:numPr>
          <w:ilvl w:val="0"/>
          <w:numId w:val="10"/>
        </w:numPr>
        <w:rPr>
          <w:b/>
        </w:rPr>
      </w:pPr>
      <w:r>
        <w:rPr>
          <w:b/>
        </w:rPr>
        <w:t>From the Perspective of Market Exchanges:</w:t>
      </w:r>
    </w:p>
    <w:p>
      <w:pPr>
        <w:pStyle w:val="Normal"/>
        <w:numPr>
          <w:ilvl w:val="0"/>
          <w:numId w:val="6"/>
        </w:numPr>
        <w:tabs>
          <w:tab w:val="left" w:pos="720" w:leader="none"/>
        </w:tabs>
        <w:ind w:hanging="360" w:start="720" w:end="0"/>
        <w:rPr/>
      </w:pPr>
      <w:r>
        <w:rPr/>
        <w:t>Send final, balanced schedules to the RTO hour-ahead for energy, PTRs and ancillary services</w:t>
      </w:r>
    </w:p>
    <w:p>
      <w:pPr>
        <w:pStyle w:val="Normal"/>
        <w:rPr/>
      </w:pPr>
      <w:r>
        <w:rPr/>
      </w:r>
    </w:p>
    <w:p>
      <w:pPr>
        <w:pStyle w:val="Normal"/>
        <w:numPr>
          <w:ilvl w:val="0"/>
          <w:numId w:val="10"/>
        </w:numPr>
        <w:rPr>
          <w:b/>
        </w:rPr>
      </w:pPr>
      <w:r>
        <w:rPr>
          <w:b/>
        </w:rPr>
        <w:t>From the Perspective of Market Participants:</w:t>
      </w:r>
    </w:p>
    <w:p>
      <w:pPr>
        <w:pStyle w:val="Normal"/>
        <w:numPr>
          <w:ilvl w:val="0"/>
          <w:numId w:val="6"/>
        </w:numPr>
        <w:tabs>
          <w:tab w:val="left" w:pos="720" w:leader="none"/>
        </w:tabs>
        <w:ind w:hanging="360" w:start="720" w:end="0"/>
        <w:rPr/>
      </w:pPr>
      <w:r>
        <w:rPr/>
        <w:t>Perform adjustment trades through independent exchanges to manage last-minute updates to load portfolio (for e.g., based on weather-sensitive load profiles), trade resulting surpluses/deficits , finalize supply portfolio (for e.g., based on hydro conditions, daily oil prices, etc.) and update resulting schedules on a continuous basis up to hour-ahead</w:t>
      </w:r>
    </w:p>
    <w:p>
      <w:pPr>
        <w:pStyle w:val="Normal"/>
        <w:numPr>
          <w:ilvl w:val="0"/>
          <w:numId w:val="6"/>
        </w:numPr>
        <w:tabs>
          <w:tab w:val="left" w:pos="720" w:leader="none"/>
        </w:tabs>
        <w:ind w:hanging="360" w:start="720" w:end="0"/>
        <w:rPr/>
      </w:pPr>
      <w:r>
        <w:rPr/>
        <w:t>Update and submit adjustments to balanced schedules, PTR and ancillary service and loss purchases</w:t>
      </w:r>
    </w:p>
    <w:p>
      <w:pPr>
        <w:pStyle w:val="Normal"/>
        <w:rPr/>
      </w:pPr>
      <w:r>
        <w:rPr/>
      </w:r>
    </w:p>
    <w:p>
      <w:pPr>
        <w:pStyle w:val="Normal"/>
        <w:rPr>
          <w:u w:val="single"/>
        </w:rPr>
      </w:pPr>
      <w:r>
        <w:rPr>
          <w:u w:val="single"/>
        </w:rPr>
        <w:t>REAL-TIME (HOUR-OF)</w:t>
      </w:r>
    </w:p>
    <w:p>
      <w:pPr>
        <w:pStyle w:val="Normal"/>
        <w:rPr>
          <w:u w:val="single"/>
        </w:rPr>
      </w:pPr>
      <w:r>
        <w:rPr>
          <w:u w:val="single"/>
        </w:rPr>
      </w:r>
    </w:p>
    <w:p>
      <w:pPr>
        <w:pStyle w:val="Normal"/>
        <w:jc w:val="center"/>
        <w:rPr>
          <w:rFonts w:ascii="Arial" w:hAnsi="Arial" w:cs="Arial"/>
          <w:sz w:val="20"/>
        </w:rPr>
      </w:pPr>
      <w:r>
        <w:rPr>
          <w:rFonts w:cs="Arial" w:ascii="Arial" w:hAnsi="Arial"/>
          <w:sz w:val="20"/>
        </w:rPr>
        <w:t>Figure 5: Information Flow - Real-Time (Hour of)</w:t>
      </w:r>
    </w:p>
    <w:p>
      <w:pPr>
        <w:pStyle w:val="Normal"/>
        <w:jc w:val="center"/>
        <w:rPr>
          <w:rFonts w:ascii="Arial" w:hAnsi="Arial" w:cs="Arial"/>
          <w:sz w:val="20"/>
        </w:rPr>
      </w:pPr>
      <w:r>
        <w:rPr>
          <w:rFonts w:cs="Arial" w:ascii="Arial" w:hAnsi="Arial"/>
          <w:sz w:val="20"/>
        </w:rPr>
        <w:drawing>
          <wp:anchor behindDoc="0" distT="0" distB="0" distL="114935" distR="114935" simplePos="0" locked="0" layoutInCell="0" allowOverlap="1" relativeHeight="13">
            <wp:simplePos x="0" y="0"/>
            <wp:positionH relativeFrom="column">
              <wp:posOffset>0</wp:posOffset>
            </wp:positionH>
            <wp:positionV relativeFrom="paragraph">
              <wp:posOffset>128270</wp:posOffset>
            </wp:positionV>
            <wp:extent cx="5479415" cy="3020695"/>
            <wp:effectExtent l="0" t="0" r="0" b="0"/>
            <wp:wrapTopAndBottom/>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5" t="-9" r="-5" b="-9"/>
                    <a:stretch>
                      <a:fillRect/>
                    </a:stretch>
                  </pic:blipFill>
                  <pic:spPr bwMode="auto">
                    <a:xfrm>
                      <a:off x="0" y="0"/>
                      <a:ext cx="5479415" cy="3020695"/>
                    </a:xfrm>
                    <a:prstGeom prst="rect">
                      <a:avLst/>
                    </a:prstGeom>
                    <a:noFill/>
                  </pic:spPr>
                </pic:pic>
              </a:graphicData>
            </a:graphic>
          </wp:anchor>
        </w:drawing>
      </w:r>
    </w:p>
    <w:p>
      <w:pPr>
        <w:pStyle w:val="Normal"/>
        <w:numPr>
          <w:ilvl w:val="0"/>
          <w:numId w:val="4"/>
        </w:numPr>
        <w:rPr>
          <w:b/>
        </w:rPr>
      </w:pPr>
      <w:r>
        <w:rPr>
          <w:b/>
        </w:rPr>
        <w:t>From the Perspective of the RTO:</w:t>
      </w:r>
    </w:p>
    <w:p>
      <w:pPr>
        <w:pStyle w:val="Normal"/>
        <w:numPr>
          <w:ilvl w:val="0"/>
          <w:numId w:val="12"/>
        </w:numPr>
        <w:tabs>
          <w:tab w:val="left" w:pos="720" w:leader="none"/>
        </w:tabs>
        <w:ind w:hanging="360" w:start="720" w:end="0"/>
        <w:rPr/>
      </w:pPr>
      <w:r>
        <w:rPr/>
        <w:t>Receives and responds to energy needs from control areas, using redispatch procedures. Issues orders to ramp resources within a control area, or create an inter-control area dynamic schedule and transmit to each applicable control area, thereby ensuring efficient coordination between control areas.</w:t>
      </w:r>
    </w:p>
    <w:p>
      <w:pPr>
        <w:pStyle w:val="Normal"/>
        <w:numPr>
          <w:ilvl w:val="0"/>
          <w:numId w:val="12"/>
        </w:numPr>
        <w:tabs>
          <w:tab w:val="left" w:pos="720" w:leader="none"/>
        </w:tabs>
        <w:ind w:hanging="360" w:start="720" w:end="0"/>
        <w:rPr/>
      </w:pPr>
      <w:r>
        <w:rPr/>
        <w:t>Clears any minor congestion on the system on (“intra-flowgate”) using the ancillary service stacks.</w:t>
      </w:r>
    </w:p>
    <w:p>
      <w:pPr>
        <w:pStyle w:val="Normal"/>
        <w:ind w:start="360" w:end="0"/>
        <w:rPr/>
      </w:pPr>
      <w:r>
        <w:rPr/>
      </w:r>
    </w:p>
    <w:p>
      <w:pPr>
        <w:pStyle w:val="Normal"/>
        <w:numPr>
          <w:ilvl w:val="0"/>
          <w:numId w:val="10"/>
        </w:numPr>
        <w:rPr>
          <w:b/>
        </w:rPr>
      </w:pPr>
      <w:r>
        <w:rPr>
          <w:b/>
        </w:rPr>
        <w:t>From the Perspective of Market Exchanges:</w:t>
      </w:r>
    </w:p>
    <w:p>
      <w:pPr>
        <w:pStyle w:val="Normal"/>
        <w:numPr>
          <w:ilvl w:val="0"/>
          <w:numId w:val="12"/>
        </w:numPr>
        <w:tabs>
          <w:tab w:val="left" w:pos="720" w:leader="none"/>
        </w:tabs>
        <w:ind w:hanging="360" w:start="720" w:end="0"/>
        <w:rPr/>
      </w:pPr>
      <w:r>
        <w:rPr/>
        <w:t>None</w:t>
      </w:r>
    </w:p>
    <w:p>
      <w:pPr>
        <w:pStyle w:val="Normal"/>
        <w:ind w:start="360" w:end="0"/>
        <w:rPr/>
      </w:pPr>
      <w:r>
        <w:rPr/>
      </w:r>
    </w:p>
    <w:p>
      <w:pPr>
        <w:pStyle w:val="Normal"/>
        <w:numPr>
          <w:ilvl w:val="0"/>
          <w:numId w:val="10"/>
        </w:numPr>
        <w:rPr>
          <w:b/>
        </w:rPr>
      </w:pPr>
      <w:r>
        <w:rPr>
          <w:b/>
        </w:rPr>
        <w:t>From the Perspective of Market Participants:</w:t>
      </w:r>
    </w:p>
    <w:p>
      <w:pPr>
        <w:pStyle w:val="Normal"/>
        <w:numPr>
          <w:ilvl w:val="0"/>
          <w:numId w:val="12"/>
        </w:numPr>
        <w:tabs>
          <w:tab w:val="left" w:pos="720" w:leader="none"/>
        </w:tabs>
        <w:ind w:hanging="360" w:start="720" w:end="0"/>
        <w:rPr/>
      </w:pPr>
      <w:r>
        <w:rPr/>
        <w:t>None</w:t>
      </w:r>
    </w:p>
    <w:p>
      <w:pPr>
        <w:pStyle w:val="Normal"/>
        <w:rPr>
          <w:b/>
        </w:rPr>
      </w:pPr>
      <w:r>
        <w:rPr>
          <w:b/>
        </w:rPr>
      </w:r>
    </w:p>
    <w:p>
      <w:pPr>
        <w:pStyle w:val="Normal"/>
        <w:rPr>
          <w:u w:val="single"/>
        </w:rPr>
      </w:pPr>
      <w:r>
        <w:rPr>
          <w:u w:val="single"/>
        </w:rPr>
        <w:t>SETTLEMENTE (AFTER-THE-FACT)</w:t>
      </w:r>
    </w:p>
    <w:p>
      <w:pPr>
        <w:pStyle w:val="Normal"/>
        <w:rPr>
          <w:b/>
          <w:u w:val="single"/>
        </w:rPr>
      </w:pPr>
      <w:r>
        <w:rPr>
          <w:b/>
          <w:u w:val="single"/>
        </w:rPr>
      </w:r>
    </w:p>
    <w:p>
      <w:pPr>
        <w:pStyle w:val="Normal"/>
        <w:jc w:val="center"/>
        <w:rPr>
          <w:rFonts w:ascii="Arial" w:hAnsi="Arial" w:cs="Arial"/>
          <w:sz w:val="20"/>
        </w:rPr>
      </w:pPr>
      <w:r>
        <w:rPr>
          <w:rFonts w:cs="Arial" w:ascii="Arial" w:hAnsi="Arial"/>
          <w:sz w:val="20"/>
        </w:rPr>
        <w:t>Figure 6: Information Flow -Settlement (After-the-fact)</w:t>
      </w:r>
    </w:p>
    <w:p>
      <w:pPr>
        <w:pStyle w:val="Normal"/>
        <w:jc w:val="center"/>
        <w:rPr>
          <w:rFonts w:ascii="Arial" w:hAnsi="Arial" w:cs="Arial"/>
          <w:sz w:val="20"/>
        </w:rPr>
      </w:pPr>
      <w:r>
        <w:rPr>
          <w:rFonts w:cs="Arial" w:ascii="Arial" w:hAnsi="Arial"/>
          <w:sz w:val="20"/>
        </w:rPr>
      </w:r>
    </w:p>
    <w:p>
      <w:pPr>
        <w:pStyle w:val="Normal"/>
        <w:numPr>
          <w:ilvl w:val="0"/>
          <w:numId w:val="4"/>
        </w:numPr>
        <w:rPr>
          <w:b/>
        </w:rPr>
      </w:pPr>
      <w:r>
        <w:drawing>
          <wp:anchor behindDoc="0" distT="0" distB="0" distL="114935" distR="114935" simplePos="0" locked="0" layoutInCell="0" allowOverlap="1" relativeHeight="14">
            <wp:simplePos x="0" y="0"/>
            <wp:positionH relativeFrom="column">
              <wp:posOffset>0</wp:posOffset>
            </wp:positionH>
            <wp:positionV relativeFrom="paragraph">
              <wp:posOffset>181610</wp:posOffset>
            </wp:positionV>
            <wp:extent cx="5478145" cy="2696845"/>
            <wp:effectExtent l="0" t="0" r="0" b="0"/>
            <wp:wrapTopAndBottom/>
            <wp:docPr id="12"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 descr="" title=""/>
                    <pic:cNvPicPr>
                      <a:picLocks noChangeAspect="1" noChangeArrowheads="1"/>
                    </pic:cNvPicPr>
                  </pic:nvPicPr>
                  <pic:blipFill>
                    <a:blip r:embed="rId9"/>
                    <a:srcRect l="-4" t="-9" r="-4" b="-9"/>
                    <a:stretch>
                      <a:fillRect/>
                    </a:stretch>
                  </pic:blipFill>
                  <pic:spPr bwMode="auto">
                    <a:xfrm>
                      <a:off x="0" y="0"/>
                      <a:ext cx="5478145" cy="2696845"/>
                    </a:xfrm>
                    <a:prstGeom prst="rect">
                      <a:avLst/>
                    </a:prstGeom>
                    <a:noFill/>
                  </pic:spPr>
                </pic:pic>
              </a:graphicData>
            </a:graphic>
          </wp:anchor>
        </w:drawing>
      </w:r>
      <w:r>
        <w:rPr>
          <w:b/>
        </w:rPr>
        <w:t>From the Perspective of the RTO:</w:t>
      </w:r>
    </w:p>
    <w:p>
      <w:pPr>
        <w:pStyle w:val="Normal"/>
        <w:numPr>
          <w:ilvl w:val="0"/>
          <w:numId w:val="12"/>
        </w:numPr>
        <w:tabs>
          <w:tab w:val="left" w:pos="720" w:leader="none"/>
        </w:tabs>
        <w:ind w:hanging="360" w:start="720" w:end="0"/>
        <w:rPr/>
      </w:pPr>
      <w:r>
        <w:rPr/>
        <w:t>Receives ex-post system state data, including metered load, transmission and generation availability and determine imbalances relative to schedules.</w:t>
      </w:r>
    </w:p>
    <w:p>
      <w:pPr>
        <w:pStyle w:val="Normal"/>
        <w:numPr>
          <w:ilvl w:val="0"/>
          <w:numId w:val="12"/>
        </w:numPr>
        <w:tabs>
          <w:tab w:val="left" w:pos="720" w:leader="none"/>
        </w:tabs>
        <w:ind w:hanging="360" w:start="720" w:end="0"/>
        <w:rPr/>
      </w:pPr>
      <w:r>
        <w:rPr/>
        <w:t>Calculates locational, grid-wide marginal costs (clearing prices) of balancing based on supplemental energy utilized taking into account any intra-flowgate congestion– (under normal conditions this will be one single price in the absence of real-time congestion).</w:t>
      </w:r>
    </w:p>
    <w:p>
      <w:pPr>
        <w:pStyle w:val="Normal"/>
        <w:numPr>
          <w:ilvl w:val="0"/>
          <w:numId w:val="12"/>
        </w:numPr>
        <w:tabs>
          <w:tab w:val="left" w:pos="720" w:leader="none"/>
        </w:tabs>
        <w:ind w:hanging="360" w:start="720" w:end="0"/>
        <w:rPr/>
      </w:pPr>
      <w:r>
        <w:rPr/>
        <w:t>Collects imbalance payments from Market Participants, calculates and collects uplift for resolving intra-flowgate congestion</w:t>
      </w:r>
    </w:p>
    <w:p>
      <w:pPr>
        <w:pStyle w:val="Normal"/>
        <w:ind w:start="360" w:end="0"/>
        <w:rPr/>
      </w:pPr>
      <w:r>
        <w:rPr/>
      </w:r>
    </w:p>
    <w:p>
      <w:pPr>
        <w:pStyle w:val="Normal"/>
        <w:numPr>
          <w:ilvl w:val="0"/>
          <w:numId w:val="10"/>
        </w:numPr>
        <w:rPr>
          <w:b/>
        </w:rPr>
      </w:pPr>
      <w:r>
        <w:rPr>
          <w:b/>
        </w:rPr>
        <w:t>From the Perspective of Market Exchanges:</w:t>
      </w:r>
    </w:p>
    <w:p>
      <w:pPr>
        <w:pStyle w:val="Normal"/>
        <w:numPr>
          <w:ilvl w:val="0"/>
          <w:numId w:val="12"/>
        </w:numPr>
        <w:tabs>
          <w:tab w:val="left" w:pos="720" w:leader="none"/>
        </w:tabs>
        <w:ind w:hanging="360" w:start="720" w:end="0"/>
        <w:rPr/>
      </w:pPr>
      <w:r>
        <w:rPr/>
        <w:t>Receive imbalance dues from RTO for all market participants and facilitate imbalance trades in exchange, transfer imbalance and uplift payments to the RTO</w:t>
      </w:r>
    </w:p>
    <w:p>
      <w:pPr>
        <w:pStyle w:val="Normal"/>
        <w:rPr>
          <w:u w:val="single"/>
        </w:rPr>
      </w:pPr>
      <w:r>
        <w:rPr>
          <w:u w:val="single"/>
        </w:rPr>
      </w:r>
    </w:p>
    <w:p>
      <w:pPr>
        <w:pStyle w:val="Normal"/>
        <w:numPr>
          <w:ilvl w:val="0"/>
          <w:numId w:val="10"/>
        </w:numPr>
        <w:rPr>
          <w:b/>
        </w:rPr>
      </w:pPr>
      <w:r>
        <w:rPr>
          <w:b/>
        </w:rPr>
        <w:t>From the Perspective of Market Participants:</w:t>
      </w:r>
    </w:p>
    <w:p>
      <w:pPr>
        <w:pStyle w:val="Normal"/>
        <w:numPr>
          <w:ilvl w:val="0"/>
          <w:numId w:val="12"/>
        </w:numPr>
        <w:tabs>
          <w:tab w:val="left" w:pos="720" w:leader="none"/>
        </w:tabs>
        <w:ind w:hanging="360" w:start="720" w:end="0"/>
        <w:rPr/>
      </w:pPr>
      <w:r>
        <w:rPr/>
        <w:t>Receive imbalance dues</w:t>
      </w:r>
    </w:p>
    <w:p>
      <w:pPr>
        <w:pStyle w:val="Normal"/>
        <w:numPr>
          <w:ilvl w:val="0"/>
          <w:numId w:val="12"/>
        </w:numPr>
        <w:tabs>
          <w:tab w:val="left" w:pos="720" w:leader="none"/>
        </w:tabs>
        <w:ind w:hanging="360" w:start="720" w:end="0"/>
        <w:rPr/>
      </w:pPr>
      <w:r>
        <w:rPr/>
        <w:t>Trade imbalances in exchange with other Market Participants, pay out deficiency to the RTO</w:t>
      </w:r>
    </w:p>
    <w:p>
      <w:pPr>
        <w:pStyle w:val="Normal"/>
        <w:ind w:start="360" w:end="0"/>
        <w:rPr/>
      </w:pPr>
      <w:r>
        <w:rPr/>
      </w:r>
    </w:p>
    <w:p>
      <w:pPr>
        <w:pStyle w:val="Normal"/>
        <w:ind w:start="360" w:end="0"/>
        <w:rPr/>
      </w:pPr>
      <w:r>
        <w:rPr/>
      </w:r>
    </w:p>
    <w:p>
      <w:pPr>
        <w:pStyle w:val="Normal"/>
        <w:ind w:start="360" w:end="0"/>
        <w:rPr/>
      </w:pPr>
      <w:r>
        <w:rPr/>
      </w:r>
    </w:p>
    <w:p>
      <w:pPr>
        <w:pStyle w:val="Heading2"/>
        <w:rPr/>
      </w:pPr>
      <w:bookmarkStart w:id="10" w:name="__RefHeading___Toc488204487"/>
      <w:bookmarkEnd w:id="10"/>
      <w:r>
        <w:rPr/>
        <w:t>Future Market Developments</w:t>
      </w:r>
    </w:p>
    <w:p>
      <w:pPr>
        <w:pStyle w:val="Heading9"/>
        <w:spacing w:before="0" w:after="0"/>
        <w:rPr>
          <w:b w:val="false"/>
          <w:i w:val="false"/>
          <w:i w:val="false"/>
        </w:rPr>
      </w:pPr>
      <w:r>
        <w:rPr>
          <w:b w:val="false"/>
          <w:i w:val="false"/>
        </w:rPr>
        <w:t>Any RTO must anticipate future market developments when making a decision to adopt a new CMS. These include at least the impending adoption of retail choice by states within the RTO, future generation and transmission investments, and the compatibility of the adopted CMS with CMS's adopted by neighboring RTOs. REAL Flow offers considerable advantages over other approaches in anticipating these issues.</w:t>
      </w:r>
    </w:p>
    <w:p>
      <w:pPr>
        <w:pStyle w:val="Heading9"/>
        <w:spacing w:before="0" w:after="0"/>
        <w:rPr>
          <w:b w:val="false"/>
          <w:i w:val="false"/>
          <w:i w:val="false"/>
        </w:rPr>
      </w:pPr>
      <w:r>
        <w:rPr>
          <w:b w:val="false"/>
          <w:i w:val="false"/>
        </w:rPr>
      </w:r>
    </w:p>
    <w:p>
      <w:pPr>
        <w:pStyle w:val="Heading9"/>
        <w:spacing w:before="0" w:after="0"/>
        <w:rPr/>
      </w:pPr>
      <w:r>
        <w:rPr/>
        <w:t>Retail Access</w:t>
      </w:r>
    </w:p>
    <w:p>
      <w:pPr>
        <w:pStyle w:val="Normal"/>
        <w:rPr/>
      </w:pPr>
      <w:r>
        <w:rPr/>
        <w:t xml:space="preserve">Two important developments brought by retail competition will impact the decision criteria for selecting a congestion management scheme: a) The creation of a new set of market players, retail aggregators, who will face little understood (poorly metered) and constantly varying load profiles; b) Increase in the volume of and pattern of trading, particularly across control areas and in and out of the RTO. </w:t>
      </w:r>
    </w:p>
    <w:p>
      <w:pPr>
        <w:pStyle w:val="Normal"/>
        <w:rPr/>
      </w:pPr>
      <w:r>
        <w:rPr/>
      </w:r>
    </w:p>
    <w:p>
      <w:pPr>
        <w:pStyle w:val="Normal"/>
        <w:rPr/>
      </w:pPr>
      <w:r>
        <w:rPr/>
        <w:t xml:space="preserve">The value of transparency and therefore simplicity in light of these considerations cannot be over-emphasized. Complexity will impede retail development. Retail aggregators will likely have dynamic portfolios (supply and demand) that can change on a daily basis. The complexity of a financial hedging system (FTRs) with hundreds of nodes will act to stifle the flexibility of the retail market as it minimizes the liquidity at every delivery point in the network. In such circumstances, liquidity and price certainty in forward markets for energy and transmission capacity are vital.  The physical rights approach and ex-ante price characteristics of REAL Flow will provide both these characteristics. </w:t>
      </w:r>
    </w:p>
    <w:p>
      <w:pPr>
        <w:pStyle w:val="Normal"/>
        <w:rPr/>
      </w:pPr>
      <w:r>
        <w:rPr/>
      </w:r>
    </w:p>
    <w:p>
      <w:pPr>
        <w:pStyle w:val="Normal"/>
        <w:rPr/>
      </w:pPr>
      <w:r>
        <w:rPr/>
        <w:t xml:space="preserve">The potential change and increases in flow patterns will influence the selection of flowgates. The flowgate selection approach proposed above, because it reflects the expectations, and encourages the participation, of players in the commercial market, will identify likely future patterns of congestion.  This market-driven process will provide information for expected trading across RTOs within the interconnections and thereby provide greater stability upon which to base wholesale to retail transactions. </w:t>
      </w:r>
    </w:p>
    <w:p>
      <w:pPr>
        <w:pStyle w:val="Normal"/>
        <w:rPr/>
      </w:pPr>
      <w:r>
        <w:rPr/>
        <w:t xml:space="preserve">Given the obvious limitations in predicting congestion, the more important characteristic of REAL Flow is that commercially significant flowgates can be redefined over time as congestion patterns change.  </w:t>
      </w:r>
    </w:p>
    <w:p>
      <w:pPr>
        <w:pStyle w:val="Normal"/>
        <w:rPr/>
      </w:pPr>
      <w:r>
        <w:rPr/>
      </w:r>
    </w:p>
    <w:p>
      <w:pPr>
        <w:pStyle w:val="Heading3"/>
        <w:spacing w:before="0" w:after="0"/>
        <w:rPr/>
      </w:pPr>
      <w:r>
        <w:rPr/>
        <w:t>New Generation/Transmission</w:t>
      </w:r>
    </w:p>
    <w:p>
      <w:pPr>
        <w:pStyle w:val="Normal"/>
        <w:rPr/>
      </w:pPr>
      <w:r>
        <w:rPr/>
        <w:t>Capital investments in the grid that relieve congestion or add system capacity need to be  awarded the operational rights to the capacity they create in order to discourage free rider problems and create incentives for new investment.</w:t>
      </w:r>
    </w:p>
    <w:p>
      <w:pPr>
        <w:pStyle w:val="Normal"/>
        <w:rPr/>
      </w:pPr>
      <w:r>
        <w:rPr/>
      </w:r>
    </w:p>
    <w:p>
      <w:pPr>
        <w:pStyle w:val="Normal"/>
        <w:rPr/>
      </w:pPr>
      <w:r>
        <w:rPr/>
        <w:t xml:space="preserve">REAL Flow provides location price signals to Market Participants to invest in generation and transmission, since energy prices in different parts of the grid will reflect the value of transmission, expressed in the required flowgate rights, to get from one region to the next. </w:t>
      </w:r>
    </w:p>
    <w:p>
      <w:pPr>
        <w:pStyle w:val="EndnoteText"/>
        <w:rPr/>
      </w:pPr>
      <w:r>
        <w:rPr/>
      </w:r>
    </w:p>
    <w:p>
      <w:pPr>
        <w:pStyle w:val="EndnoteText"/>
        <w:rPr/>
      </w:pPr>
      <w:r>
        <w:rPr/>
      </w:r>
    </w:p>
    <w:p>
      <w:pPr>
        <w:pStyle w:val="EndnoteText"/>
        <w:rPr/>
      </w:pPr>
      <w:r>
        <w:rPr/>
      </w:r>
    </w:p>
    <w:p>
      <w:pPr>
        <w:pStyle w:val="EndnoteText"/>
        <w:rPr/>
      </w:pPr>
      <w:r>
        <w:rPr/>
      </w:r>
    </w:p>
    <w:p>
      <w:pPr>
        <w:pStyle w:val="Normal"/>
        <w:rPr>
          <w:i/>
          <w:i/>
        </w:rPr>
      </w:pPr>
      <w:r>
        <w:rPr>
          <w:i/>
        </w:rPr>
        <w:t>Seams Issues</w:t>
      </w:r>
    </w:p>
    <w:p>
      <w:pPr>
        <w:pStyle w:val="Normal"/>
        <w:rPr/>
      </w:pPr>
      <w:r>
        <w:rPr/>
        <w:t>Regardless of the CMS adopted, the potential incompatibility of this approach with neighboring RTOs will pose issues that will require individual attention. The challenges faced will include at least:</w:t>
      </w:r>
    </w:p>
    <w:p>
      <w:pPr>
        <w:pStyle w:val="Normal"/>
        <w:numPr>
          <w:ilvl w:val="0"/>
          <w:numId w:val="14"/>
        </w:numPr>
        <w:rPr/>
      </w:pPr>
      <w:r>
        <w:rPr/>
        <w:t>Loop flows across RTOs</w:t>
      </w:r>
    </w:p>
    <w:p>
      <w:pPr>
        <w:pStyle w:val="Normal"/>
        <w:numPr>
          <w:ilvl w:val="0"/>
          <w:numId w:val="14"/>
        </w:numPr>
        <w:rPr/>
      </w:pPr>
      <w:r>
        <w:rPr/>
        <w:t xml:space="preserve">The definition and allocation of property rights on flowgates between RTOs </w:t>
      </w:r>
    </w:p>
    <w:p>
      <w:pPr>
        <w:pStyle w:val="Normal"/>
        <w:numPr>
          <w:ilvl w:val="0"/>
          <w:numId w:val="14"/>
        </w:numPr>
        <w:rPr/>
      </w:pPr>
      <w:r>
        <w:rPr/>
        <w:t>Compatibility of energy prices at the seams.</w:t>
      </w:r>
    </w:p>
    <w:p>
      <w:pPr>
        <w:pStyle w:val="Normal"/>
        <w:ind w:start="60" w:end="0"/>
        <w:rPr/>
      </w:pPr>
      <w:r>
        <w:rPr/>
      </w:r>
    </w:p>
    <w:p>
      <w:pPr>
        <w:pStyle w:val="Normal"/>
        <w:ind w:start="60" w:end="0"/>
        <w:rPr/>
      </w:pPr>
      <w:r>
        <w:rPr/>
        <w:t>In principle, however, REAL Flow has the distinct advantage over an LMP approach of having a partial solution to the seams issue. That is, even if an RTO and all its neighbors adopt an LMP approach, no process has been developed to ensure that the dispatch solutions generated by neighboring pools would be compatible, or that FTRs on RTO interconnections could be allocated and traded in a meaningful manner, or that loop flow issues could be resolved.</w:t>
      </w:r>
      <w:r>
        <w:rPr>
          <w:rStyle w:val="FootnoteCharacters"/>
          <w:rStyle w:val="FootnoteReference"/>
          <w:i/>
        </w:rPr>
        <w:footnoteReference w:id="6"/>
      </w:r>
      <w:r>
        <w:rPr/>
        <w:t xml:space="preserve"> </w:t>
      </w:r>
    </w:p>
    <w:p>
      <w:pPr>
        <w:pStyle w:val="Normal"/>
        <w:ind w:start="60" w:end="0"/>
        <w:rPr/>
      </w:pPr>
      <w:r>
        <w:rPr/>
      </w:r>
    </w:p>
    <w:p>
      <w:pPr>
        <w:pStyle w:val="Normal"/>
        <w:ind w:start="60" w:end="0"/>
        <w:rPr/>
      </w:pPr>
      <w:r>
        <w:rPr/>
        <w:t>With REAL Flow, flowgate rights can be defined seamlessly across the Eastern Interconnect, since they are based on NERC’s centralized PTDF calculations. Loop flows across RTOs therefore can be internalized into individual RTO’s market by requiring purchases on interacting flowgates across RTOs to purchase appropriate rights in accordance with their flow impacts. Interconnecting flowgate rights could be sold and traded no differently from flowgates internal to the RTOs.</w:t>
      </w:r>
    </w:p>
    <w:p>
      <w:pPr>
        <w:pStyle w:val="Normal"/>
        <w:ind w:start="60" w:end="0"/>
        <w:rPr/>
      </w:pPr>
      <w:r>
        <w:rPr/>
        <w:br/>
        <w:t xml:space="preserve"> </w:t>
      </w:r>
      <w:r>
        <w:br w:type="page"/>
      </w:r>
    </w:p>
    <w:p>
      <w:pPr>
        <w:pStyle w:val="Heading1"/>
        <w:ind w:hanging="0" w:start="0"/>
        <w:rPr/>
      </w:pPr>
      <w:bookmarkStart w:id="11" w:name="__RefHeading___Toc488204488"/>
      <w:r>
        <w:rPr/>
        <w:t>Comparison of REAL Flow and LMP</w:t>
      </w:r>
      <w:bookmarkEnd w:id="11"/>
      <w:r>
        <w:rPr/>
        <w:t xml:space="preserve"> </w:t>
      </w:r>
    </w:p>
    <w:p>
      <w:pPr>
        <w:pStyle w:val="Header"/>
        <w:tabs>
          <w:tab w:val="clear" w:pos="4320"/>
          <w:tab w:val="clear" w:pos="8640"/>
        </w:tabs>
        <w:rPr>
          <w:rFonts w:ascii="Arial" w:hAnsi="Arial" w:cs="Arial"/>
        </w:rPr>
      </w:pPr>
      <w:r>
        <w:rPr>
          <w:rFonts w:cs="Arial" w:ascii="Arial" w:hAnsi="Arial"/>
        </w:rPr>
      </w:r>
    </w:p>
    <w:p>
      <w:pPr>
        <w:pStyle w:val="TableHeader"/>
        <w:rPr/>
      </w:pPr>
      <w:r>
        <w:rPr/>
        <w:t xml:space="preserve">Table 2: Comparison of REAL Flow and LMP </w:t>
      </w:r>
    </w:p>
    <w:p>
      <w:pPr>
        <w:pStyle w:val="TableHeader"/>
        <w:rPr/>
      </w:pPr>
      <w:r>
        <w:rPr/>
        <w:t>Characteristics and Effectiveness</w:t>
      </w:r>
    </w:p>
    <w:p>
      <w:pPr>
        <w:pStyle w:val="Header"/>
        <w:tabs>
          <w:tab w:val="clear" w:pos="4320"/>
          <w:tab w:val="clear" w:pos="8640"/>
        </w:tabs>
        <w:rPr>
          <w:rFonts w:ascii="Arial" w:hAnsi="Arial" w:cs="Arial"/>
        </w:rPr>
      </w:pPr>
      <w:r>
        <w:rPr>
          <w:rFonts w:cs="Arial" w:ascii="Arial" w:hAnsi="Arial"/>
        </w:rPr>
      </w:r>
    </w:p>
    <w:tbl>
      <w:tblPr>
        <w:tblW w:w="9630" w:type="dxa"/>
        <w:jc w:val="start"/>
        <w:tblInd w:w="-432" w:type="dxa"/>
        <w:tblLayout w:type="fixed"/>
        <w:tblCellMar>
          <w:top w:w="0" w:type="dxa"/>
          <w:start w:w="108" w:type="dxa"/>
          <w:bottom w:w="0" w:type="dxa"/>
          <w:end w:w="108" w:type="dxa"/>
        </w:tblCellMar>
      </w:tblPr>
      <w:tblGrid>
        <w:gridCol w:w="1980"/>
        <w:gridCol w:w="3600"/>
        <w:gridCol w:w="4050"/>
      </w:tblGrid>
      <w:tr>
        <w:trPr>
          <w:tblHeader w:val="true"/>
        </w:trPr>
        <w:tc>
          <w:tcPr>
            <w:tcW w:w="1980" w:type="dxa"/>
            <w:tcBorders>
              <w:top w:val="single" w:sz="6" w:space="0" w:color="000000"/>
              <w:start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600" w:type="dxa"/>
            <w:tcBorders>
              <w:top w:val="single" w:sz="6" w:space="0" w:color="000000"/>
              <w:start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4050" w:type="dxa"/>
            <w:tcBorders>
              <w:top w:val="single" w:sz="6" w:space="0" w:color="000000"/>
              <w:start w:val="single" w:sz="6" w:space="0" w:color="000000"/>
              <w:end w:val="single" w:sz="6" w:space="0" w:color="000000"/>
            </w:tcBorders>
            <w:shd w:fill="C0C0C0" w:val="clear"/>
          </w:tcPr>
          <w:p>
            <w:pPr>
              <w:pStyle w:val="Normal"/>
              <w:rPr>
                <w:rFonts w:ascii="Arial" w:hAnsi="Arial" w:cs="Arial"/>
                <w:b/>
              </w:rPr>
            </w:pPr>
            <w:r>
              <w:rPr>
                <w:rFonts w:cs="Arial" w:ascii="Arial" w:hAnsi="Arial"/>
                <w:b/>
              </w:rPr>
              <w:t>REAL Flow</w:t>
            </w:r>
          </w:p>
        </w:tc>
      </w:tr>
      <w:tr>
        <w:trPr/>
        <w:tc>
          <w:tcPr>
            <w:tcW w:w="963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b/>
              </w:rPr>
              <w:t>Objectives of CMS</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rPr>
              <w:t>Efficiency in Managing Congestion</w:t>
            </w:r>
          </w:p>
        </w:tc>
        <w:tc>
          <w:tcPr>
            <w:tcW w:w="360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Sound in theory. However, in practice, dependent on software and input assumptions. (I.e., assumptions and judgement "in the control room").</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Efficient forward market pricing, overall efficiency dependent on combined efficiency of forward and real-time energy markets and selection of flowgates.</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Cost Allocation</w:t>
            </w:r>
          </w:p>
        </w:tc>
        <w:tc>
          <w:tcPr>
            <w:tcW w:w="360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May unnecessarily penalize loads for localized transmission problems.</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Accurate with appropriate flowgate selection. </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Implementation Costs</w:t>
            </w:r>
          </w:p>
        </w:tc>
        <w:tc>
          <w:tcPr>
            <w:tcW w:w="360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Centralization costly. Most suitable for ‘tight’ pools such as PJM, NY and NE or to RTOs with few control areas.</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Suitable for loose pools. Provides basis for “seam” management between RTOs. Preservation of control areas simplifies transition.</w:t>
            </w:r>
          </w:p>
          <w:p>
            <w:pPr>
              <w:pStyle w:val="Normal"/>
              <w:rPr>
                <w:rFonts w:ascii="Arial" w:hAnsi="Arial" w:cs="Arial"/>
                <w:color w:val="000000"/>
                <w:sz w:val="20"/>
              </w:rPr>
            </w:pPr>
            <w:r>
              <w:rPr>
                <w:rFonts w:cs="Arial" w:ascii="Arial" w:hAnsi="Arial"/>
                <w:color w:val="000000"/>
                <w:sz w:val="20"/>
              </w:rPr>
            </w:r>
          </w:p>
        </w:tc>
      </w:tr>
      <w:tr>
        <w:trPr/>
        <w:tc>
          <w:tcPr>
            <w:tcW w:w="963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b/>
              </w:rPr>
              <w:t>Overall Market Development</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Bilateral Market Activity</w:t>
            </w:r>
          </w:p>
        </w:tc>
        <w:tc>
          <w:tcPr>
            <w:tcW w:w="360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FTR complexity, price unpredictability/ product unmanageability, and time required to calculate prices are barriers to entry and trading of FTRs. Consequently, discourages bilateral energy trading.</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Encourages bilateral trading, Market simplicity and well-defined transmission products allow high volume trade and price certainty.</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Price Certainty</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Theoretically FTR financial hedges provide certainty. In practice, low liquidity in forward markets and ex-post pricing reduce price certainty.</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Liquid, continuous trading on few well-defined products and self-management of congestion in forward markets provides high price certainty.</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Equity</w:t>
            </w:r>
          </w:p>
        </w:tc>
        <w:tc>
          <w:tcPr>
            <w:tcW w:w="360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Can lead to inequitable outcomes at a local level (e.g., factor of 10 difference in prices in same substation in PJM due to different voltage level or price differentials based solely on definition of system components as in Delmarva); consumers pay the price for operator decisions (e.g., deferred investments and arbitrary prices when model won’t solve).</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Equitable in the absence of significant congestion on non-tradable transmission elements (which can be mitigated by adding new flowgates).</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Future Investment</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Provides correct signals for generation.</w:t>
            </w:r>
          </w:p>
          <w:p>
            <w:pPr>
              <w:pStyle w:val="Normal"/>
              <w:rPr>
                <w:rFonts w:ascii="Arial" w:hAnsi="Arial" w:cs="Arial"/>
                <w:color w:val="000000"/>
                <w:sz w:val="20"/>
              </w:rPr>
            </w:pPr>
            <w:r>
              <w:rPr>
                <w:rFonts w:cs="Arial" w:ascii="Arial" w:hAnsi="Arial"/>
                <w:color w:val="000000"/>
                <w:sz w:val="20"/>
              </w:rPr>
            </w:r>
          </w:p>
          <w:p>
            <w:pPr>
              <w:pStyle w:val="Normal"/>
              <w:rPr>
                <w:sz w:val="20"/>
              </w:rPr>
            </w:pPr>
            <w:r>
              <w:rPr>
                <w:rFonts w:cs="Arial" w:ascii="Arial" w:hAnsi="Arial"/>
                <w:color w:val="000000"/>
                <w:sz w:val="20"/>
              </w:rPr>
              <w:t>Little incentive for transmission investment.</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Provides correct signals for generation, but with less spatial specificity. </w:t>
            </w:r>
          </w:p>
          <w:p>
            <w:pPr>
              <w:pStyle w:val="Normal"/>
              <w:rPr>
                <w:rFonts w:ascii="Arial" w:hAnsi="Arial" w:cs="Arial"/>
                <w:color w:val="000000"/>
                <w:sz w:val="20"/>
              </w:rPr>
            </w:pPr>
            <w:r>
              <w:rPr>
                <w:rFonts w:cs="Arial" w:ascii="Arial" w:hAnsi="Arial"/>
                <w:color w:val="000000"/>
                <w:sz w:val="20"/>
              </w:rPr>
            </w:r>
          </w:p>
          <w:p>
            <w:pPr>
              <w:pStyle w:val="Normal"/>
              <w:rPr>
                <w:sz w:val="20"/>
              </w:rPr>
            </w:pPr>
            <w:r>
              <w:rPr>
                <w:rFonts w:cs="Arial" w:ascii="Arial" w:hAnsi="Arial"/>
                <w:color w:val="000000"/>
                <w:sz w:val="20"/>
              </w:rPr>
              <w:t>TransCo can be designed to have incentive for transmission investment (e.g., take on risk/reward of intra-zonal congestion management).</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Retail Access</w:t>
            </w:r>
          </w:p>
        </w:tc>
        <w:tc>
          <w:tcPr>
            <w:tcW w:w="360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Complexity and </w:t>
            </w:r>
            <w:r>
              <w:rPr>
                <w:rFonts w:cs="Arial" w:ascii="Arial" w:hAnsi="Arial"/>
                <w:i/>
                <w:color w:val="000000"/>
                <w:sz w:val="20"/>
              </w:rPr>
              <w:t>ex-post</w:t>
            </w:r>
            <w:r>
              <w:rPr>
                <w:rFonts w:cs="Arial" w:ascii="Arial" w:hAnsi="Arial"/>
                <w:color w:val="000000"/>
                <w:sz w:val="20"/>
              </w:rPr>
              <w:t xml:space="preserve"> pricing will hinder retail participation.</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20"/>
              </w:rPr>
            </w:pPr>
            <w:r>
              <w:rPr>
                <w:rFonts w:cs="Arial" w:ascii="Arial" w:hAnsi="Arial"/>
                <w:color w:val="000000"/>
                <w:sz w:val="20"/>
              </w:rPr>
              <w:t xml:space="preserve">Effective, because of </w:t>
            </w:r>
            <w:r>
              <w:rPr>
                <w:rFonts w:cs="Arial" w:ascii="Arial" w:hAnsi="Arial"/>
                <w:i/>
                <w:color w:val="000000"/>
                <w:sz w:val="20"/>
              </w:rPr>
              <w:t>ex ante</w:t>
            </w:r>
            <w:r>
              <w:rPr>
                <w:rFonts w:cs="Arial" w:ascii="Arial" w:hAnsi="Arial"/>
                <w:color w:val="000000"/>
                <w:sz w:val="20"/>
              </w:rPr>
              <w:t>, market-based pricing, commercial simplicity and limited pricing areas.</w:t>
            </w:r>
          </w:p>
        </w:tc>
      </w:tr>
    </w:tbl>
    <w:p>
      <w:pPr>
        <w:pStyle w:val="Normal"/>
        <w:rPr/>
      </w:pPr>
      <w:r>
        <w:rPr/>
      </w:r>
    </w:p>
    <w:p>
      <w:pPr>
        <w:pStyle w:val="Normal"/>
        <w:rPr/>
      </w:pPr>
      <w:r>
        <w:rPr/>
      </w:r>
    </w:p>
    <w:tbl>
      <w:tblPr>
        <w:tblW w:w="9630" w:type="dxa"/>
        <w:jc w:val="start"/>
        <w:tblInd w:w="-432" w:type="dxa"/>
        <w:tblLayout w:type="fixed"/>
        <w:tblCellMar>
          <w:top w:w="0" w:type="dxa"/>
          <w:start w:w="108" w:type="dxa"/>
          <w:bottom w:w="0" w:type="dxa"/>
          <w:end w:w="108" w:type="dxa"/>
        </w:tblCellMar>
      </w:tblPr>
      <w:tblGrid>
        <w:gridCol w:w="1980"/>
        <w:gridCol w:w="3600"/>
        <w:gridCol w:w="4050"/>
      </w:tblGrid>
      <w:tr>
        <w:trPr>
          <w:tblHeader w:val="true"/>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rPr>
                <w:rFonts w:ascii="Arial" w:hAnsi="Arial" w:cs="Arial"/>
                <w:b/>
              </w:rPr>
            </w:pPr>
            <w:r>
              <w:rPr>
                <w:rFonts w:cs="Arial" w:ascii="Arial" w:hAnsi="Arial"/>
                <w:b/>
              </w:rPr>
            </w:r>
          </w:p>
        </w:tc>
        <w:tc>
          <w:tcPr>
            <w:tcW w:w="36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405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963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b/>
              </w:rPr>
              <w:t>Methodology</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Transmission Property Rights</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Definition</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Financial Rights defined point-to-point. No flow guarantee, but receive payment from RTO against resulting price difference between nodes. Obligation to pay if congestion reverses. </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Physical rights defined on  "commercially significant" constraints (CSFs) only. No obligation to use - surrendered if unused, no financial exchange with RTO.</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Capacity Release</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Periodic auctions, capacity released based on auction bids.  Auction requires OPF model.  Rights can theoretically be traded in secondary markets, though transfers require RTO intervention in NY and PJM, and location-specificity hinders trading. In PJM, quantity-based rationing provides incentives to hoard FTRs.</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Periodic auctions on CSFs based on individual flowgate transfer limits. Independently operated exchange allows for continuously cleared bilateral, secondary market for capacity. RTO releases capacity seasonally and as conditions allow.</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Updating System Design</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 theory all nodes are defined at the time of system design.  In practice in PJM additional facilities are turned over to IO at request of transmission owners that results in significant unanticipated and permanent price differentials.</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Flowgates for allocation or auction are defined to be those that are “commercially significant.”  Definitions are reviewed annually (or more frequently) as a step in the annual reallocation / auction process.</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Handling Loop Flows (within RTO)</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Internalized into Optimal Power Flow (OPF).</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Handled by requiring transactions to purchase flowgate rights based on contribution of transactions to flows on each flowgate (NERC PTDFs).</w:t>
            </w:r>
          </w:p>
        </w:tc>
      </w:tr>
      <w:tr>
        <w:trPr>
          <w:trHeight w:val="246" w:hRule="atLeast"/>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Header"/>
              <w:tabs>
                <w:tab w:val="clear" w:pos="4320"/>
                <w:tab w:val="clear" w:pos="8640"/>
              </w:tabs>
              <w:rPr>
                <w:rFonts w:ascii="Arial" w:hAnsi="Arial" w:cs="Arial"/>
              </w:rPr>
            </w:pPr>
            <w:r>
              <w:rPr>
                <w:rFonts w:cs="Arial" w:ascii="Arial" w:hAnsi="Arial"/>
              </w:rPr>
              <w:t>Handling Loop</w:t>
            </w:r>
          </w:p>
          <w:p>
            <w:pPr>
              <w:pStyle w:val="Normal"/>
              <w:rPr>
                <w:rFonts w:ascii="Arial" w:hAnsi="Arial" w:cs="Arial"/>
              </w:rPr>
            </w:pPr>
            <w:r>
              <w:rPr>
                <w:rFonts w:eastAsia="Arial" w:cs="Arial" w:ascii="Arial" w:hAnsi="Arial"/>
              </w:rPr>
              <w:t xml:space="preserve"> </w:t>
            </w:r>
            <w:r>
              <w:rPr>
                <w:rFonts w:cs="Arial" w:ascii="Arial" w:hAnsi="Arial"/>
              </w:rPr>
              <w:t>Flows (outside RTO)</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Ignores external effects in current implementations.  No proven way to synchronize nodal prices or trade congestion rights between RTO’s who have separate optimizations.</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Flowgate capacity in adjacent RTOs is required to permit schedules that have significant impact in those RTOs to address external effects of schedules.     </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i/>
                <w:i/>
              </w:rPr>
            </w:pPr>
            <w:r>
              <w:rPr>
                <w:rFonts w:cs="Arial" w:ascii="Arial" w:hAnsi="Arial"/>
                <w:i/>
              </w:rPr>
              <w:t>Market Operation</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color w:val="000000"/>
                <w:sz w:val="20"/>
              </w:rPr>
            </w:pPr>
            <w:r>
              <w:rPr>
                <w:rFonts w:cs="Arial" w:ascii="Arial" w:hAnsi="Arial"/>
                <w:color w:val="000000"/>
                <w:sz w:val="20"/>
              </w:rPr>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rPr>
            </w:pPr>
            <w:r>
              <w:rPr>
                <w:rFonts w:cs="Arial" w:ascii="Arial" w:hAnsi="Arial"/>
              </w:rPr>
              <w:t>Forward Markets</w:t>
            </w:r>
          </w:p>
        </w:tc>
        <w:tc>
          <w:tcPr>
            <w:tcW w:w="360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tabs>
                <w:tab w:val="clear" w:pos="720"/>
                <w:tab w:val="left" w:pos="126" w:leader="none"/>
              </w:tabs>
              <w:rPr>
                <w:rFonts w:ascii="Arial" w:hAnsi="Arial" w:cs="Arial"/>
                <w:color w:val="000000"/>
                <w:sz w:val="20"/>
              </w:rPr>
            </w:pPr>
            <w:r>
              <w:rPr>
                <w:rFonts w:cs="Arial" w:ascii="Arial" w:hAnsi="Arial"/>
                <w:color w:val="000000"/>
                <w:sz w:val="20"/>
              </w:rPr>
              <w:t>Transmission: secondary market for FTRs - liquidity an issue, given complexity and non-fungible products. Transfer of FTRs requires RTO involvement.</w:t>
            </w:r>
          </w:p>
          <w:p>
            <w:pPr>
              <w:pStyle w:val="Normal"/>
              <w:numPr>
                <w:ilvl w:val="0"/>
                <w:numId w:val="13"/>
              </w:numPr>
              <w:tabs>
                <w:tab w:val="clear" w:pos="720"/>
                <w:tab w:val="left" w:pos="126" w:leader="none"/>
              </w:tabs>
              <w:ind w:hanging="216" w:start="216" w:end="0"/>
              <w:rPr>
                <w:rFonts w:ascii="Arial" w:hAnsi="Arial" w:cs="Arial"/>
                <w:color w:val="000000"/>
                <w:sz w:val="20"/>
              </w:rPr>
            </w:pPr>
            <w:r>
              <w:rPr>
                <w:rFonts w:cs="Arial" w:ascii="Arial" w:hAnsi="Arial"/>
                <w:color w:val="000000"/>
                <w:sz w:val="20"/>
              </w:rPr>
              <w:t xml:space="preserve">Energy: Centralized, designated markets (day-ahead, hourly) cleared by RTO using bid-based OPF, no requirement to balance schedules. </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ind w:hanging="162" w:start="162" w:end="0"/>
              <w:rPr>
                <w:rFonts w:ascii="Arial" w:hAnsi="Arial" w:cs="Arial"/>
                <w:color w:val="000000"/>
                <w:sz w:val="20"/>
              </w:rPr>
            </w:pPr>
            <w:r>
              <w:rPr>
                <w:rFonts w:cs="Arial" w:ascii="Arial" w:hAnsi="Arial"/>
                <w:color w:val="000000"/>
                <w:sz w:val="20"/>
              </w:rPr>
              <w:t>Transmission: Bilateral forward markets available and continuously clearing for commercially significant transmission paths; assures liquid market.</w:t>
            </w:r>
          </w:p>
          <w:p>
            <w:pPr>
              <w:pStyle w:val="Normal"/>
              <w:numPr>
                <w:ilvl w:val="0"/>
                <w:numId w:val="13"/>
              </w:numPr>
              <w:ind w:hanging="216" w:start="162" w:end="0"/>
              <w:rPr>
                <w:rFonts w:ascii="Arial" w:hAnsi="Arial" w:cs="Arial"/>
                <w:color w:val="000000"/>
                <w:sz w:val="20"/>
              </w:rPr>
            </w:pPr>
            <w:r>
              <w:rPr>
                <w:rFonts w:cs="Arial" w:ascii="Arial" w:hAnsi="Arial"/>
                <w:color w:val="000000"/>
                <w:sz w:val="20"/>
              </w:rPr>
              <w:t>Energy, transmission and ancillary services traded in exchanges (e.g., CA PX) where products are continuously traded and cleared bilaterally up until real-time (hour-ahead). Balanced schedules required to be submitted to dispatcher.</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9630" w:type="dxa"/>
        <w:jc w:val="start"/>
        <w:tblInd w:w="-432" w:type="dxa"/>
        <w:tblLayout w:type="fixed"/>
        <w:tblCellMar>
          <w:top w:w="0" w:type="dxa"/>
          <w:start w:w="108" w:type="dxa"/>
          <w:bottom w:w="0" w:type="dxa"/>
          <w:end w:w="108" w:type="dxa"/>
        </w:tblCellMar>
      </w:tblPr>
      <w:tblGrid>
        <w:gridCol w:w="1980"/>
        <w:gridCol w:w="3600"/>
        <w:gridCol w:w="4050"/>
      </w:tblGrid>
      <w:tr>
        <w:trPr>
          <w:tblHeader w:val="true"/>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snapToGrid w:val="false"/>
              <w:ind w:start="72" w:end="0"/>
              <w:rPr>
                <w:rFonts w:ascii="Arial" w:hAnsi="Arial" w:cs="Arial"/>
                <w:b/>
              </w:rPr>
            </w:pPr>
            <w:r>
              <w:rPr>
                <w:rFonts w:cs="Arial" w:ascii="Arial" w:hAnsi="Arial"/>
                <w:b/>
              </w:rPr>
            </w:r>
          </w:p>
        </w:tc>
        <w:tc>
          <w:tcPr>
            <w:tcW w:w="360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Nodal</w:t>
            </w:r>
          </w:p>
        </w:tc>
        <w:tc>
          <w:tcPr>
            <w:tcW w:w="4050" w:type="dxa"/>
            <w:tcBorders>
              <w:top w:val="single" w:sz="6" w:space="0" w:color="000000"/>
              <w:start w:val="single" w:sz="6" w:space="0" w:color="000000"/>
              <w:bottom w:val="single" w:sz="6" w:space="0" w:color="000000"/>
              <w:end w:val="single" w:sz="6" w:space="0" w:color="000000"/>
            </w:tcBorders>
            <w:shd w:fill="C0C0C0" w:val="clear"/>
          </w:tcPr>
          <w:p>
            <w:pPr>
              <w:pStyle w:val="Normal"/>
              <w:rPr>
                <w:rFonts w:ascii="Arial" w:hAnsi="Arial" w:cs="Arial"/>
                <w:b/>
              </w:rPr>
            </w:pPr>
            <w:r>
              <w:rPr>
                <w:rFonts w:cs="Arial" w:ascii="Arial" w:hAnsi="Arial"/>
                <w:b/>
              </w:rPr>
              <w:t>Flow-based</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rPr>
            </w:pPr>
            <w:r>
              <w:rPr>
                <w:rFonts w:cs="Arial" w:ascii="Arial" w:hAnsi="Arial"/>
              </w:rPr>
              <w:t>Bilateral Activity (energy)</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 xml:space="preserve">Use contracts for differences (CfDs) against pool prices; bid zero or negative into pool to ensure delivery. </w:t>
            </w:r>
          </w:p>
          <w:p>
            <w:pPr>
              <w:pStyle w:val="Normal"/>
              <w:numPr>
                <w:ilvl w:val="0"/>
                <w:numId w:val="13"/>
              </w:numPr>
              <w:rPr>
                <w:rFonts w:ascii="Arial" w:hAnsi="Arial" w:cs="Arial"/>
                <w:color w:val="000000"/>
                <w:sz w:val="20"/>
              </w:rPr>
            </w:pPr>
            <w:r>
              <w:rPr>
                <w:rFonts w:cs="Arial" w:ascii="Arial" w:hAnsi="Arial"/>
                <w:color w:val="000000"/>
                <w:sz w:val="20"/>
              </w:rPr>
              <w:t>Price and FTR complexity can limit liquidity of bilateral trades for delivery</w:t>
            </w:r>
          </w:p>
          <w:p>
            <w:pPr>
              <w:pStyle w:val="Normal"/>
              <w:numPr>
                <w:ilvl w:val="0"/>
                <w:numId w:val="13"/>
              </w:numPr>
              <w:rPr>
                <w:rFonts w:ascii="Arial" w:hAnsi="Arial" w:cs="Arial"/>
                <w:color w:val="000000"/>
                <w:sz w:val="20"/>
              </w:rPr>
            </w:pPr>
            <w:r>
              <w:rPr>
                <w:rFonts w:cs="Arial" w:ascii="Arial" w:hAnsi="Arial"/>
                <w:color w:val="000000"/>
                <w:sz w:val="20"/>
              </w:rPr>
              <w:t>NY and PJM show poor liquidity of contracts for delivery and much difficulty with wheels, imports, and exports.</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Dominant transaction form continuously traded in independent exchanges. Market simplicity (price and transmission rights) enables high liquidity.</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rPr>
            </w:pPr>
            <w:r>
              <w:rPr>
                <w:rFonts w:cs="Arial" w:ascii="Arial" w:hAnsi="Arial"/>
              </w:rPr>
              <w:t>Real-time Balancing Market/ Dispatch</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Centralized RTO performs real-time security-constrained dispatch, producing ex-post energy prices independent of forward markets.  In NY, real-time prices revised up to 2 weeks ex post.</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eastAsia="Arial" w:cs="Arial" w:ascii="Arial" w:hAnsi="Arial"/>
                <w:color w:val="000000"/>
                <w:sz w:val="20"/>
              </w:rPr>
              <w:t xml:space="preserve"> </w:t>
            </w:r>
            <w:r>
              <w:rPr>
                <w:rFonts w:cs="Arial" w:ascii="Arial" w:hAnsi="Arial"/>
                <w:color w:val="000000"/>
                <w:sz w:val="20"/>
              </w:rPr>
              <w:t>RTO runs real-time market only for balancing. RTO performs coordinated dispatch with control areas. Clears real-time congestion based on redispatch process that recognizes existing schedules and uses inc. and dec. bids, as well as ancillary service bids.</w:t>
            </w:r>
          </w:p>
        </w:tc>
      </w:tr>
      <w:tr>
        <w:trPr/>
        <w:tc>
          <w:tcPr>
            <w:tcW w:w="9630" w:type="dxa"/>
            <w:gridSpan w:val="3"/>
            <w:tcBorders>
              <w:top w:val="single" w:sz="6" w:space="0" w:color="000000"/>
              <w:start w:val="single" w:sz="6" w:space="0" w:color="000000"/>
              <w:bottom w:val="single" w:sz="6" w:space="0" w:color="000000"/>
              <w:end w:val="single" w:sz="6" w:space="0" w:color="000000"/>
            </w:tcBorders>
          </w:tcPr>
          <w:p>
            <w:pPr>
              <w:pStyle w:val="Normal"/>
              <w:ind w:start="72" w:end="0"/>
              <w:rPr>
                <w:rFonts w:ascii="Arial" w:hAnsi="Arial" w:cs="Arial"/>
                <w:color w:val="000000"/>
                <w:sz w:val="20"/>
              </w:rPr>
            </w:pPr>
            <w:r>
              <w:rPr>
                <w:rFonts w:cs="Arial" w:ascii="Arial" w:hAnsi="Arial"/>
                <w:b/>
              </w:rPr>
              <w:t>Institutional Structure</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i/>
                <w:i/>
              </w:rPr>
            </w:pPr>
            <w:r>
              <w:rPr>
                <w:rFonts w:cs="Arial" w:ascii="Arial" w:hAnsi="Arial"/>
                <w:i/>
              </w:rPr>
              <w:t>RTO Structure</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Typically not-for profit ISO. For-profit TransCo possible, but serious conflict of interest issues arise due to operation of energy market and the transmission system.</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Can be an ISO or a for-profit Transco.</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i/>
                <w:i/>
              </w:rPr>
            </w:pPr>
            <w:r>
              <w:rPr>
                <w:rFonts w:cs="Arial" w:ascii="Arial" w:hAnsi="Arial"/>
                <w:i/>
              </w:rPr>
              <w:t>RTO Role in Forward Markets</w:t>
            </w:r>
          </w:p>
        </w:tc>
        <w:tc>
          <w:tcPr>
            <w:tcW w:w="360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i/>
                <w:i/>
                <w:color w:val="000000"/>
                <w:sz w:val="20"/>
              </w:rPr>
            </w:pPr>
            <w:r>
              <w:rPr>
                <w:rFonts w:cs="Arial" w:ascii="Arial" w:hAnsi="Arial"/>
                <w:i/>
                <w:color w:val="000000"/>
                <w:sz w:val="20"/>
              </w:rPr>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ind w:start="-54" w:end="0"/>
              <w:rPr>
                <w:rFonts w:ascii="Arial" w:hAnsi="Arial" w:cs="Arial"/>
                <w:color w:val="000000"/>
                <w:sz w:val="20"/>
              </w:rPr>
            </w:pPr>
            <w:r>
              <w:rPr>
                <w:rFonts w:cs="Arial" w:ascii="Arial" w:hAnsi="Arial"/>
                <w:color w:val="000000"/>
                <w:sz w:val="20"/>
              </w:rPr>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rPr>
            </w:pPr>
            <w:r>
              <w:rPr>
                <w:rFonts w:cs="Arial" w:ascii="Arial" w:hAnsi="Arial"/>
              </w:rPr>
              <w:t>Transmission</w:t>
            </w:r>
          </w:p>
        </w:tc>
        <w:tc>
          <w:tcPr>
            <w:tcW w:w="360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rPr>
                <w:rFonts w:ascii="Arial" w:hAnsi="Arial" w:cs="Arial"/>
                <w:color w:val="000000"/>
                <w:sz w:val="20"/>
              </w:rPr>
            </w:pPr>
            <w:r>
              <w:rPr>
                <w:rFonts w:cs="Arial" w:ascii="Arial" w:hAnsi="Arial"/>
                <w:color w:val="000000"/>
                <w:sz w:val="20"/>
              </w:rPr>
              <w:t>Controls and manages market for FTRs including capacity release, auction and secondary market.</w:t>
            </w:r>
          </w:p>
          <w:p>
            <w:pPr>
              <w:pStyle w:val="Normal"/>
              <w:numPr>
                <w:ilvl w:val="0"/>
                <w:numId w:val="13"/>
              </w:numPr>
              <w:rPr>
                <w:rFonts w:ascii="Arial" w:hAnsi="Arial" w:cs="Arial"/>
                <w:color w:val="000000"/>
                <w:sz w:val="20"/>
              </w:rPr>
            </w:pPr>
            <w:r>
              <w:rPr>
                <w:rFonts w:cs="Arial" w:ascii="Arial" w:hAnsi="Arial"/>
                <w:color w:val="000000"/>
                <w:sz w:val="20"/>
              </w:rPr>
              <w:t>Manages single OASIS site.</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rPr>
                <w:rFonts w:ascii="Arial" w:hAnsi="Arial" w:cs="Arial"/>
                <w:color w:val="000000"/>
                <w:sz w:val="20"/>
              </w:rPr>
            </w:pPr>
            <w:r>
              <w:rPr>
                <w:rFonts w:cs="Arial" w:ascii="Arial" w:hAnsi="Arial"/>
                <w:color w:val="000000"/>
                <w:sz w:val="20"/>
              </w:rPr>
              <w:t>Defines and releases transmission capacity in auctions. Manages single OASIS site. Secondary market for PTRs not run by RTO.</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rPr>
            </w:pPr>
            <w:r>
              <w:rPr>
                <w:rFonts w:eastAsia="Arial" w:cs="Arial" w:ascii="Arial" w:hAnsi="Arial"/>
              </w:rPr>
              <w:t xml:space="preserve">    </w:t>
            </w:r>
            <w:r>
              <w:rPr>
                <w:rFonts w:cs="Arial" w:ascii="Arial" w:hAnsi="Arial"/>
              </w:rPr>
              <w:t>Energy</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Controlling Involvement:</w:t>
            </w:r>
          </w:p>
          <w:p>
            <w:pPr>
              <w:pStyle w:val="Normal"/>
              <w:numPr>
                <w:ilvl w:val="0"/>
                <w:numId w:val="13"/>
              </w:numPr>
              <w:rPr>
                <w:rFonts w:ascii="Arial" w:hAnsi="Arial" w:cs="Arial"/>
                <w:color w:val="000000"/>
                <w:sz w:val="20"/>
              </w:rPr>
            </w:pPr>
            <w:r>
              <w:rPr>
                <w:rFonts w:cs="Arial" w:ascii="Arial" w:hAnsi="Arial"/>
                <w:color w:val="000000"/>
                <w:sz w:val="20"/>
              </w:rPr>
              <w:t>Controls and operates energy market for all settlement periods.</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Minimal:</w:t>
            </w:r>
          </w:p>
          <w:p>
            <w:pPr>
              <w:pStyle w:val="Normal"/>
              <w:ind w:start="-54" w:end="0"/>
              <w:rPr>
                <w:rFonts w:ascii="Arial" w:hAnsi="Arial" w:cs="Arial"/>
                <w:color w:val="000000"/>
                <w:sz w:val="20"/>
              </w:rPr>
            </w:pPr>
            <w:r>
              <w:rPr>
                <w:rFonts w:cs="Arial" w:ascii="Arial" w:hAnsi="Arial"/>
                <w:color w:val="000000"/>
                <w:sz w:val="20"/>
              </w:rPr>
              <w:t>- No involvement in energy market, except for real-time balancing.</w:t>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rPr>
            </w:pPr>
            <w:r>
              <w:rPr>
                <w:rFonts w:cs="Arial" w:ascii="Arial" w:hAnsi="Arial"/>
              </w:rPr>
              <w:t>Ancillary Services</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Offers all ancillary services, and serves as provider of last resort. Depending on implementation, may offer ancillary services market (reserves and frequency control) separate from or combined with energy market.</w:t>
            </w:r>
          </w:p>
        </w:tc>
        <w:tc>
          <w:tcPr>
            <w:tcW w:w="4050" w:type="dxa"/>
            <w:tcBorders>
              <w:top w:val="single" w:sz="6" w:space="0" w:color="000000"/>
              <w:start w:val="single" w:sz="6" w:space="0" w:color="000000"/>
              <w:bottom w:val="single" w:sz="6" w:space="0" w:color="000000"/>
              <w:end w:val="single" w:sz="6" w:space="0" w:color="000000"/>
            </w:tcBorders>
          </w:tcPr>
          <w:p>
            <w:pPr>
              <w:pStyle w:val="Normal"/>
              <w:numPr>
                <w:ilvl w:val="0"/>
                <w:numId w:val="13"/>
              </w:numPr>
              <w:rPr>
                <w:rFonts w:ascii="Arial" w:hAnsi="Arial" w:cs="Arial"/>
                <w:color w:val="000000"/>
                <w:sz w:val="20"/>
              </w:rPr>
            </w:pPr>
            <w:r>
              <w:rPr>
                <w:rFonts w:cs="Arial" w:ascii="Arial" w:hAnsi="Arial"/>
                <w:color w:val="000000"/>
                <w:sz w:val="20"/>
              </w:rPr>
              <w:t xml:space="preserve">Calculates and posts ancillary service (reserves) and loss requirements. </w:t>
            </w:r>
          </w:p>
          <w:p>
            <w:pPr>
              <w:pStyle w:val="Normal"/>
              <w:numPr>
                <w:ilvl w:val="0"/>
                <w:numId w:val="13"/>
              </w:numPr>
              <w:rPr>
                <w:rFonts w:ascii="Arial" w:hAnsi="Arial" w:cs="Arial"/>
                <w:color w:val="000000"/>
                <w:sz w:val="20"/>
              </w:rPr>
            </w:pPr>
            <w:r>
              <w:rPr>
                <w:rFonts w:cs="Arial" w:ascii="Arial" w:hAnsi="Arial"/>
                <w:color w:val="000000"/>
                <w:sz w:val="20"/>
              </w:rPr>
              <w:t>May purchase ‘call’ contracts in forward markets</w:t>
            </w:r>
          </w:p>
          <w:p>
            <w:pPr>
              <w:pStyle w:val="Normal"/>
              <w:numPr>
                <w:ilvl w:val="0"/>
                <w:numId w:val="13"/>
              </w:numPr>
              <w:rPr>
                <w:rFonts w:ascii="Arial" w:hAnsi="Arial" w:cs="Arial"/>
                <w:color w:val="000000"/>
                <w:sz w:val="20"/>
              </w:rPr>
            </w:pPr>
            <w:r>
              <w:rPr>
                <w:rFonts w:cs="Arial" w:ascii="Arial" w:hAnsi="Arial"/>
                <w:color w:val="000000"/>
                <w:sz w:val="20"/>
              </w:rPr>
              <w:t>Provider of last resort</w:t>
            </w:r>
          </w:p>
          <w:p>
            <w:pPr>
              <w:pStyle w:val="Normal"/>
              <w:ind w:start="-54" w:end="0"/>
              <w:rPr>
                <w:rFonts w:ascii="Arial" w:hAnsi="Arial" w:cs="Arial"/>
                <w:color w:val="000000"/>
                <w:sz w:val="20"/>
              </w:rPr>
            </w:pPr>
            <w:r>
              <w:rPr>
                <w:rFonts w:cs="Arial" w:ascii="Arial" w:hAnsi="Arial"/>
                <w:color w:val="000000"/>
                <w:sz w:val="20"/>
              </w:rPr>
            </w:r>
          </w:p>
        </w:tc>
      </w:tr>
      <w:tr>
        <w:trPr/>
        <w:tc>
          <w:tcPr>
            <w:tcW w:w="1980" w:type="dxa"/>
            <w:tcBorders>
              <w:top w:val="single" w:sz="6" w:space="0" w:color="000000"/>
              <w:start w:val="single" w:sz="6" w:space="0" w:color="000000"/>
              <w:bottom w:val="single" w:sz="6" w:space="0" w:color="000000"/>
              <w:end w:val="single" w:sz="6" w:space="0" w:color="000000"/>
            </w:tcBorders>
            <w:shd w:fill="C0C0C0" w:val="clear"/>
          </w:tcPr>
          <w:p>
            <w:pPr>
              <w:pStyle w:val="Normal"/>
              <w:ind w:start="72" w:end="0"/>
              <w:rPr>
                <w:rFonts w:ascii="Arial" w:hAnsi="Arial" w:cs="Arial"/>
                <w:i/>
                <w:i/>
              </w:rPr>
            </w:pPr>
            <w:r>
              <w:rPr>
                <w:rFonts w:cs="Arial" w:ascii="Arial" w:hAnsi="Arial"/>
                <w:i/>
              </w:rPr>
              <w:t>RTO Role in Real-time</w:t>
            </w:r>
          </w:p>
        </w:tc>
        <w:tc>
          <w:tcPr>
            <w:tcW w:w="36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RTO performs:</w:t>
            </w:r>
          </w:p>
          <w:p>
            <w:pPr>
              <w:pStyle w:val="Normal"/>
              <w:numPr>
                <w:ilvl w:val="0"/>
                <w:numId w:val="13"/>
              </w:numPr>
              <w:rPr>
                <w:rFonts w:ascii="Arial" w:hAnsi="Arial" w:cs="Arial"/>
                <w:color w:val="000000"/>
                <w:sz w:val="20"/>
              </w:rPr>
            </w:pPr>
            <w:r>
              <w:rPr>
                <w:rFonts w:cs="Arial" w:ascii="Arial" w:hAnsi="Arial"/>
                <w:color w:val="000000"/>
                <w:sz w:val="20"/>
              </w:rPr>
              <w:t>Scheduling, system control and dispatch</w:t>
            </w:r>
          </w:p>
          <w:p>
            <w:pPr>
              <w:pStyle w:val="Normal"/>
              <w:numPr>
                <w:ilvl w:val="0"/>
                <w:numId w:val="13"/>
              </w:numPr>
              <w:rPr>
                <w:rFonts w:ascii="Arial" w:hAnsi="Arial" w:cs="Arial"/>
                <w:color w:val="000000"/>
                <w:sz w:val="20"/>
              </w:rPr>
            </w:pPr>
            <w:r>
              <w:rPr>
                <w:rFonts w:cs="Arial" w:ascii="Arial" w:hAnsi="Arial"/>
                <w:color w:val="000000"/>
                <w:sz w:val="20"/>
              </w:rPr>
              <w:t>Reactive supply and voltage support</w:t>
            </w:r>
          </w:p>
          <w:p>
            <w:pPr>
              <w:pStyle w:val="Normal"/>
              <w:numPr>
                <w:ilvl w:val="0"/>
                <w:numId w:val="13"/>
              </w:numPr>
              <w:rPr>
                <w:rFonts w:ascii="Arial" w:hAnsi="Arial" w:cs="Arial"/>
                <w:color w:val="000000"/>
                <w:sz w:val="20"/>
              </w:rPr>
            </w:pPr>
            <w:r>
              <w:rPr>
                <w:rFonts w:cs="Arial" w:ascii="Arial" w:hAnsi="Arial"/>
                <w:color w:val="000000"/>
                <w:sz w:val="20"/>
              </w:rPr>
              <w:t>Regulation and frequency response</w:t>
            </w:r>
          </w:p>
          <w:p>
            <w:pPr>
              <w:pStyle w:val="Normal"/>
              <w:numPr>
                <w:ilvl w:val="0"/>
                <w:numId w:val="13"/>
              </w:numPr>
              <w:rPr>
                <w:rFonts w:ascii="Arial" w:hAnsi="Arial" w:cs="Arial"/>
                <w:color w:val="000000"/>
                <w:sz w:val="20"/>
              </w:rPr>
            </w:pPr>
            <w:r>
              <w:rPr>
                <w:rFonts w:cs="Arial" w:ascii="Arial" w:hAnsi="Arial"/>
                <w:color w:val="000000"/>
                <w:sz w:val="20"/>
              </w:rPr>
              <w:t>Energy imbalance service</w:t>
            </w:r>
          </w:p>
          <w:p>
            <w:pPr>
              <w:pStyle w:val="Normal"/>
              <w:numPr>
                <w:ilvl w:val="0"/>
                <w:numId w:val="13"/>
              </w:numPr>
              <w:rPr>
                <w:rFonts w:ascii="Arial" w:hAnsi="Arial" w:cs="Arial"/>
                <w:color w:val="000000"/>
                <w:sz w:val="20"/>
              </w:rPr>
            </w:pPr>
            <w:r>
              <w:rPr>
                <w:rFonts w:cs="Arial" w:ascii="Arial" w:hAnsi="Arial"/>
                <w:color w:val="000000"/>
                <w:sz w:val="20"/>
              </w:rPr>
              <w:t>Spinning reserve</w:t>
            </w:r>
          </w:p>
          <w:p>
            <w:pPr>
              <w:pStyle w:val="Normal"/>
              <w:numPr>
                <w:ilvl w:val="0"/>
                <w:numId w:val="13"/>
              </w:numPr>
              <w:rPr>
                <w:rFonts w:ascii="Arial" w:hAnsi="Arial" w:cs="Arial"/>
                <w:color w:val="000000"/>
                <w:sz w:val="20"/>
              </w:rPr>
            </w:pPr>
            <w:r>
              <w:rPr>
                <w:rFonts w:cs="Arial" w:ascii="Arial" w:hAnsi="Arial"/>
                <w:color w:val="000000"/>
                <w:sz w:val="20"/>
              </w:rPr>
              <w:t>Supplemental reserve</w:t>
            </w:r>
          </w:p>
        </w:tc>
        <w:tc>
          <w:tcPr>
            <w:tcW w:w="40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20"/>
              </w:rPr>
            </w:pPr>
            <w:r>
              <w:rPr>
                <w:rFonts w:cs="Arial" w:ascii="Arial" w:hAnsi="Arial"/>
                <w:color w:val="000000"/>
                <w:sz w:val="20"/>
              </w:rPr>
              <w:t>RTO performs:</w:t>
            </w:r>
          </w:p>
          <w:p>
            <w:pPr>
              <w:pStyle w:val="Normal"/>
              <w:numPr>
                <w:ilvl w:val="0"/>
                <w:numId w:val="13"/>
              </w:numPr>
              <w:rPr>
                <w:rFonts w:ascii="Arial" w:hAnsi="Arial" w:cs="Arial"/>
                <w:color w:val="000000"/>
                <w:sz w:val="20"/>
              </w:rPr>
            </w:pPr>
            <w:r>
              <w:rPr>
                <w:rFonts w:cs="Arial" w:ascii="Arial" w:hAnsi="Arial"/>
                <w:color w:val="000000"/>
                <w:sz w:val="20"/>
              </w:rPr>
              <w:t>Scheduling and coordinated dispatch with control areas</w:t>
            </w:r>
          </w:p>
          <w:p>
            <w:pPr>
              <w:pStyle w:val="Normal"/>
              <w:numPr>
                <w:ilvl w:val="0"/>
                <w:numId w:val="13"/>
              </w:numPr>
              <w:rPr>
                <w:rFonts w:ascii="Arial" w:hAnsi="Arial" w:cs="Arial"/>
                <w:color w:val="000000"/>
                <w:sz w:val="20"/>
              </w:rPr>
            </w:pPr>
            <w:r>
              <w:rPr>
                <w:rFonts w:cs="Arial" w:ascii="Arial" w:hAnsi="Arial"/>
                <w:color w:val="000000"/>
                <w:sz w:val="20"/>
              </w:rPr>
              <w:t>Energy imbalance service</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Control areas perform all other ancillary services under the coordination of the RTO, and based on resources procured by the RTO.</w:t>
            </w:r>
          </w:p>
        </w:tc>
      </w:tr>
    </w:tbl>
    <w:p>
      <w:pPr>
        <w:pStyle w:val="Normal"/>
        <w:rPr/>
      </w:pPr>
      <w:r>
        <w:rPr/>
      </w:r>
    </w:p>
    <w:p>
      <w:pPr>
        <w:pStyle w:val="Normal"/>
        <w:rPr>
          <w:b/>
        </w:rPr>
      </w:pPr>
      <w:r>
        <w:rPr>
          <w:b/>
        </w:rPr>
      </w:r>
    </w:p>
    <w:p>
      <w:pPr>
        <w:pStyle w:val="Header"/>
        <w:tabs>
          <w:tab w:val="clear" w:pos="4320"/>
          <w:tab w:val="clear" w:pos="8640"/>
        </w:tabs>
        <w:rPr>
          <w:rFonts w:ascii="Arial" w:hAnsi="Arial" w:cs="Arial"/>
          <w:b/>
        </w:rPr>
      </w:pPr>
      <w:r>
        <w:rPr>
          <w:rFonts w:cs="Arial" w:ascii="Arial" w:hAnsi="Arial"/>
          <w:b/>
        </w:rPr>
      </w:r>
    </w:p>
    <w:p>
      <w:pPr>
        <w:pStyle w:val="Header"/>
        <w:tabs>
          <w:tab w:val="clear" w:pos="4320"/>
          <w:tab w:val="clear" w:pos="8640"/>
        </w:tabs>
        <w:rPr>
          <w:i/>
          <w:i/>
        </w:rPr>
      </w:pPr>
      <w:r>
        <w:rPr>
          <w:i/>
        </w:rPr>
        <w:t>Cost Comparison</w:t>
      </w:r>
    </w:p>
    <w:p>
      <w:pPr>
        <w:pStyle w:val="Header"/>
        <w:tabs>
          <w:tab w:val="clear" w:pos="4320"/>
          <w:tab w:val="clear" w:pos="8640"/>
        </w:tabs>
        <w:rPr/>
      </w:pPr>
      <w:r>
        <w:rPr/>
        <w:t>As discussed earlier, the implementation and operating costs associated with REAL Flow are likely to be significantly less than with an LMP approach. Table 3 below shows the general cost categories and relative cost expectations of the two approaches.</w:t>
      </w:r>
    </w:p>
    <w:p>
      <w:pPr>
        <w:pStyle w:val="Header"/>
        <w:tabs>
          <w:tab w:val="clear" w:pos="4320"/>
          <w:tab w:val="clear" w:pos="8640"/>
        </w:tabs>
        <w:rPr>
          <w:rFonts w:ascii="Arial" w:hAnsi="Arial" w:cs="Arial"/>
          <w:b/>
        </w:rPr>
      </w:pPr>
      <w:r>
        <w:rPr>
          <w:rFonts w:cs="Arial" w:ascii="Arial" w:hAnsi="Arial"/>
          <w:b/>
        </w:rPr>
      </w:r>
    </w:p>
    <w:p>
      <w:pPr>
        <w:pStyle w:val="TableHeader"/>
        <w:rPr/>
      </w:pPr>
      <w:r>
        <w:rPr/>
        <w:tab/>
        <w:t>Table 3: Comparison of REAL Flow and LMP Implementation Costs</w:t>
      </w:r>
    </w:p>
    <w:p>
      <w:pPr>
        <w:pStyle w:val="Header"/>
        <w:tabs>
          <w:tab w:val="clear" w:pos="4320"/>
          <w:tab w:val="clear" w:pos="8640"/>
        </w:tabs>
        <w:rPr>
          <w:rFonts w:ascii="Arial" w:hAnsi="Arial" w:cs="Arial"/>
          <w:b/>
        </w:rPr>
      </w:pPr>
      <w:r>
        <w:rPr>
          <w:rFonts w:cs="Arial" w:ascii="Arial" w:hAnsi="Arial"/>
          <w:b/>
        </w:rPr>
      </w:r>
    </w:p>
    <w:tbl>
      <w:tblPr>
        <w:tblW w:w="6768" w:type="dxa"/>
        <w:jc w:val="center"/>
        <w:tblInd w:w="0" w:type="dxa"/>
        <w:tblLayout w:type="fixed"/>
        <w:tblCellMar>
          <w:top w:w="0" w:type="dxa"/>
          <w:start w:w="108" w:type="dxa"/>
          <w:bottom w:w="0" w:type="dxa"/>
          <w:end w:w="108" w:type="dxa"/>
        </w:tblCellMar>
      </w:tblPr>
      <w:tblGrid>
        <w:gridCol w:w="3348"/>
        <w:gridCol w:w="1800"/>
        <w:gridCol w:w="1620"/>
      </w:tblGrid>
      <w:tr>
        <w:trPr/>
        <w:tc>
          <w:tcPr>
            <w:tcW w:w="3348" w:type="dxa"/>
            <w:tcBorders>
              <w:top w:val="single" w:sz="12" w:space="0" w:color="000000"/>
              <w:start w:val="single" w:sz="6" w:space="0" w:color="000000"/>
            </w:tcBorders>
            <w:shd w:fill="DFDFDF" w:val="clear"/>
          </w:tcPr>
          <w:p>
            <w:pPr>
              <w:pStyle w:val="Header"/>
              <w:tabs>
                <w:tab w:val="clear" w:pos="4320"/>
                <w:tab w:val="clear" w:pos="8640"/>
              </w:tabs>
              <w:rPr>
                <w:rFonts w:ascii="Arial" w:hAnsi="Arial" w:cs="Arial"/>
                <w:b/>
                <w:i/>
                <w:i/>
              </w:rPr>
            </w:pPr>
            <w:r>
              <w:rPr>
                <w:rFonts w:cs="Arial" w:ascii="Arial" w:hAnsi="Arial"/>
                <w:b/>
                <w:i/>
              </w:rPr>
              <w:t>Implementation Costs</w:t>
            </w:r>
          </w:p>
        </w:tc>
        <w:tc>
          <w:tcPr>
            <w:tcW w:w="1800" w:type="dxa"/>
            <w:tcBorders>
              <w:top w:val="single" w:sz="12" w:space="0" w:color="000000"/>
            </w:tcBorders>
            <w:shd w:fill="DFDFDF" w:val="clear"/>
          </w:tcPr>
          <w:p>
            <w:pPr>
              <w:pStyle w:val="Header"/>
              <w:tabs>
                <w:tab w:val="clear" w:pos="4320"/>
                <w:tab w:val="clear" w:pos="8640"/>
              </w:tabs>
              <w:rPr>
                <w:rFonts w:ascii="Arial" w:hAnsi="Arial" w:cs="Arial"/>
                <w:b/>
                <w:i/>
                <w:i/>
              </w:rPr>
            </w:pPr>
            <w:r>
              <w:rPr>
                <w:rFonts w:cs="Arial" w:ascii="Arial" w:hAnsi="Arial"/>
                <w:b/>
                <w:i/>
              </w:rPr>
              <w:t>REAL Flow</w:t>
            </w:r>
          </w:p>
        </w:tc>
        <w:tc>
          <w:tcPr>
            <w:tcW w:w="1620" w:type="dxa"/>
            <w:tcBorders>
              <w:top w:val="single" w:sz="12" w:space="0" w:color="000000"/>
              <w:end w:val="single" w:sz="6" w:space="0" w:color="000000"/>
            </w:tcBorders>
            <w:shd w:fill="DFDFDF" w:val="clear"/>
          </w:tcPr>
          <w:p>
            <w:pPr>
              <w:pStyle w:val="Header"/>
              <w:tabs>
                <w:tab w:val="clear" w:pos="4320"/>
                <w:tab w:val="clear" w:pos="8640"/>
              </w:tabs>
              <w:rPr>
                <w:rFonts w:ascii="Arial" w:hAnsi="Arial" w:cs="Arial"/>
                <w:b/>
                <w:i/>
                <w:i/>
              </w:rPr>
            </w:pPr>
            <w:r>
              <w:rPr>
                <w:rFonts w:cs="Arial" w:ascii="Arial" w:hAnsi="Arial"/>
                <w:b/>
                <w:i/>
              </w:rPr>
              <w:t>Nodal</w:t>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Capital (Outlay) Costs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i/>
                <w:i/>
                <w:sz w:val="20"/>
              </w:rPr>
            </w:pPr>
            <w:r>
              <w:rPr>
                <w:rFonts w:cs="Arial" w:ascii="Arial" w:hAnsi="Arial"/>
                <w:i/>
                <w:sz w:val="20"/>
              </w:rPr>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i/>
                <w:i/>
                <w:sz w:val="20"/>
              </w:rPr>
            </w:pPr>
            <w:r>
              <w:rPr>
                <w:rFonts w:cs="Arial" w:ascii="Arial" w:hAnsi="Arial"/>
                <w:i/>
                <w:sz w:val="20"/>
              </w:rPr>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hanging="180" w:start="180" w:end="0"/>
              <w:rPr/>
            </w:pPr>
            <w:r>
              <w:rPr>
                <w:rFonts w:eastAsia="Arial" w:cs="Arial" w:ascii="Arial" w:hAnsi="Arial"/>
                <w:b/>
                <w:i/>
                <w:sz w:val="20"/>
              </w:rPr>
              <w:t xml:space="preserve">   </w:t>
            </w:r>
            <w:r>
              <w:rPr>
                <w:rFonts w:cs="Arial" w:ascii="Arial" w:hAnsi="Arial"/>
                <w:sz w:val="20"/>
              </w:rPr>
              <w:t>Software systems development*</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Lower</w:t>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Higher</w:t>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hanging="180" w:start="180" w:end="0"/>
              <w:rPr>
                <w:rFonts w:ascii="Arial" w:hAnsi="Arial" w:cs="Arial"/>
                <w:sz w:val="20"/>
              </w:rPr>
            </w:pPr>
            <w:r>
              <w:rPr>
                <w:rFonts w:eastAsia="Arial" w:cs="Arial" w:ascii="Arial" w:hAnsi="Arial"/>
                <w:sz w:val="20"/>
              </w:rPr>
              <w:t xml:space="preserve">   </w:t>
            </w:r>
            <w:r>
              <w:rPr>
                <w:rFonts w:cs="Arial" w:ascii="Arial" w:hAnsi="Arial"/>
                <w:sz w:val="20"/>
              </w:rPr>
              <w:t>Administrative structure (staff, facilities, equipment, etc.)</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Lower</w:t>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Higher</w:t>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hanging="180" w:start="180" w:end="0"/>
              <w:rPr>
                <w:rFonts w:ascii="Arial" w:hAnsi="Arial" w:cs="Arial"/>
                <w:sz w:val="20"/>
              </w:rPr>
            </w:pPr>
            <w:r>
              <w:rPr>
                <w:rFonts w:eastAsia="Arial" w:cs="Arial" w:ascii="Arial" w:hAnsi="Arial"/>
                <w:sz w:val="20"/>
              </w:rPr>
              <w:t xml:space="preserve">   </w:t>
            </w:r>
            <w:r>
              <w:rPr>
                <w:rFonts w:cs="Arial" w:ascii="Arial" w:hAnsi="Arial"/>
                <w:sz w:val="20"/>
              </w:rPr>
              <w:t>Market exchanges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Higher</w:t>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Lower</w:t>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hanging="180" w:start="180" w:end="0"/>
              <w:rPr>
                <w:rFonts w:ascii="Arial" w:hAnsi="Arial" w:cs="Arial"/>
                <w:sz w:val="20"/>
              </w:rPr>
            </w:pPr>
            <w:r>
              <w:rPr>
                <w:rFonts w:eastAsia="Arial" w:cs="Arial" w:ascii="Arial" w:hAnsi="Arial"/>
                <w:sz w:val="20"/>
              </w:rPr>
              <w:t xml:space="preserve">   </w:t>
            </w:r>
            <w:r>
              <w:rPr>
                <w:rFonts w:cs="Arial" w:ascii="Arial" w:hAnsi="Arial"/>
                <w:sz w:val="20"/>
              </w:rPr>
              <w:t>Training and consulting</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hanging="180" w:start="180" w:end="0"/>
              <w:rPr>
                <w:rFonts w:ascii="Arial" w:hAnsi="Arial" w:cs="Arial"/>
                <w:sz w:val="20"/>
              </w:rPr>
            </w:pPr>
            <w:r>
              <w:rPr>
                <w:rFonts w:cs="Arial" w:ascii="Arial" w:hAnsi="Arial"/>
                <w:sz w:val="20"/>
              </w:rPr>
              <w:t>Operations Cost</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start="360" w:end="0"/>
              <w:rPr>
                <w:rFonts w:ascii="Arial" w:hAnsi="Arial" w:cs="Arial"/>
                <w:sz w:val="20"/>
              </w:rPr>
            </w:pPr>
            <w:r>
              <w:rPr>
                <w:rFonts w:cs="Arial" w:ascii="Arial" w:hAnsi="Arial"/>
                <w:sz w:val="20"/>
              </w:rPr>
              <w:t>Compensation, benefits, consulting services,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Lower</w:t>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Higher</w:t>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start="360" w:end="0"/>
              <w:rPr>
                <w:rFonts w:ascii="Arial" w:hAnsi="Arial" w:cs="Arial"/>
                <w:sz w:val="20"/>
              </w:rPr>
            </w:pPr>
            <w:r>
              <w:rPr>
                <w:rFonts w:cs="Arial" w:ascii="Arial" w:hAnsi="Arial"/>
                <w:sz w:val="20"/>
              </w:rPr>
              <w:t>Facility costs (leases)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ind w:start="360" w:end="0"/>
              <w:rPr>
                <w:rFonts w:ascii="Arial" w:hAnsi="Arial" w:cs="Arial"/>
                <w:sz w:val="20"/>
              </w:rPr>
            </w:pPr>
            <w:r>
              <w:rPr>
                <w:rFonts w:cs="Arial" w:ascii="Arial" w:hAnsi="Arial"/>
                <w:sz w:val="20"/>
              </w:rPr>
              <w:t>Misc. expenses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Indirect Costs</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rFonts w:ascii="Arial" w:hAnsi="Arial" w:cs="Arial"/>
                <w:sz w:val="20"/>
              </w:rPr>
            </w:pPr>
            <w:r>
              <w:rPr>
                <w:rFonts w:cs="Arial" w:ascii="Arial" w:hAnsi="Arial"/>
                <w:sz w:val="20"/>
              </w:rPr>
            </w:r>
          </w:p>
        </w:tc>
      </w:tr>
      <w:tr>
        <w:trPr/>
        <w:tc>
          <w:tcPr>
            <w:tcW w:w="334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eastAsia="Arial" w:cs="Arial" w:ascii="Arial" w:hAnsi="Arial"/>
                <w:sz w:val="20"/>
              </w:rPr>
              <w:t xml:space="preserve">     </w:t>
            </w:r>
            <w:r>
              <w:rPr>
                <w:rFonts w:cs="Arial" w:ascii="Arial" w:hAnsi="Arial"/>
                <w:sz w:val="20"/>
              </w:rPr>
              <w:t>Market participant training*</w:t>
            </w:r>
          </w:p>
        </w:tc>
        <w:tc>
          <w:tcPr>
            <w:tcW w:w="180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Lower</w:t>
            </w:r>
          </w:p>
        </w:tc>
        <w:tc>
          <w:tcPr>
            <w:tcW w:w="162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Higher</w:t>
            </w:r>
          </w:p>
        </w:tc>
      </w:tr>
      <w:tr>
        <w:trPr/>
        <w:tc>
          <w:tcPr>
            <w:tcW w:w="3348" w:type="dxa"/>
            <w:tcBorders>
              <w:top w:val="single" w:sz="6" w:space="0" w:color="000000"/>
              <w:start w:val="single" w:sz="6" w:space="0" w:color="000000"/>
              <w:bottom w:val="single" w:sz="12" w:space="0" w:color="000000"/>
              <w:end w:val="single" w:sz="6" w:space="0" w:color="000000"/>
            </w:tcBorders>
          </w:tcPr>
          <w:p>
            <w:pPr>
              <w:pStyle w:val="Header"/>
              <w:tabs>
                <w:tab w:val="clear" w:pos="4320"/>
                <w:tab w:val="clear" w:pos="8640"/>
              </w:tabs>
              <w:ind w:start="360" w:end="0"/>
              <w:rPr>
                <w:rFonts w:ascii="Arial" w:hAnsi="Arial" w:cs="Arial"/>
                <w:sz w:val="20"/>
              </w:rPr>
            </w:pPr>
            <w:r>
              <w:rPr>
                <w:rFonts w:cs="Arial" w:ascii="Arial" w:hAnsi="Arial"/>
                <w:sz w:val="20"/>
              </w:rPr>
              <w:t>Unquantifiable costs of market inefficiency*</w:t>
            </w:r>
          </w:p>
        </w:tc>
        <w:tc>
          <w:tcPr>
            <w:tcW w:w="1800" w:type="dxa"/>
            <w:tcBorders>
              <w:top w:val="single" w:sz="6" w:space="0" w:color="000000"/>
              <w:start w:val="single" w:sz="6" w:space="0" w:color="000000"/>
              <w:bottom w:val="single" w:sz="12"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Lower</w:t>
            </w:r>
          </w:p>
        </w:tc>
        <w:tc>
          <w:tcPr>
            <w:tcW w:w="1620" w:type="dxa"/>
            <w:tcBorders>
              <w:top w:val="single" w:sz="6" w:space="0" w:color="000000"/>
              <w:start w:val="single" w:sz="6" w:space="0" w:color="000000"/>
              <w:bottom w:val="single" w:sz="12" w:space="0" w:color="000000"/>
              <w:end w:val="single" w:sz="6" w:space="0" w:color="000000"/>
            </w:tcBorders>
          </w:tcPr>
          <w:p>
            <w:pPr>
              <w:pStyle w:val="Header"/>
              <w:tabs>
                <w:tab w:val="clear" w:pos="4320"/>
                <w:tab w:val="clear" w:pos="8640"/>
              </w:tabs>
              <w:rPr>
                <w:rFonts w:ascii="Arial" w:hAnsi="Arial" w:cs="Arial"/>
                <w:sz w:val="20"/>
              </w:rPr>
            </w:pPr>
            <w:r>
              <w:rPr>
                <w:rFonts w:cs="Arial" w:ascii="Arial" w:hAnsi="Arial"/>
                <w:sz w:val="20"/>
              </w:rPr>
              <w:t>Higher</w:t>
            </w:r>
          </w:p>
        </w:tc>
      </w:tr>
    </w:tbl>
    <w:p>
      <w:pPr>
        <w:pStyle w:val="Header"/>
        <w:tabs>
          <w:tab w:val="clear" w:pos="4320"/>
          <w:tab w:val="clear" w:pos="8640"/>
        </w:tabs>
        <w:jc w:val="center"/>
        <w:rPr>
          <w:rFonts w:ascii="Arial" w:hAnsi="Arial" w:cs="Arial"/>
          <w:sz w:val="20"/>
        </w:rPr>
      </w:pPr>
      <w:r>
        <w:rPr>
          <w:rFonts w:cs="Arial" w:ascii="Arial" w:hAnsi="Arial"/>
          <w:sz w:val="20"/>
        </w:rPr>
        <w:t>*Areas where significant cost differences are expected between nodal and zonal</w:t>
      </w:r>
    </w:p>
    <w:p>
      <w:pPr>
        <w:pStyle w:val="Normal"/>
        <w:tabs>
          <w:tab w:val="clear" w:pos="720"/>
          <w:tab w:val="left" w:pos="1440" w:leader="none"/>
        </w:tabs>
        <w:ind w:start="1080" w:end="0"/>
        <w:rPr>
          <w:rFonts w:ascii="Arial" w:hAnsi="Arial" w:cs="Arial"/>
          <w:sz w:val="20"/>
        </w:rPr>
      </w:pPr>
      <w:r>
        <w:rPr>
          <w:rFonts w:cs="Arial" w:ascii="Arial" w:hAnsi="Arial"/>
          <w:sz w:val="20"/>
        </w:rPr>
      </w:r>
    </w:p>
    <w:p>
      <w:pPr>
        <w:pStyle w:val="Header"/>
        <w:tabs>
          <w:tab w:val="clear" w:pos="4320"/>
          <w:tab w:val="clear" w:pos="8640"/>
        </w:tabs>
        <w:rPr/>
      </w:pPr>
      <w:r>
        <w:rPr/>
      </w:r>
    </w:p>
    <w:sectPr>
      <w:headerReference w:type="default" r:id="rId10"/>
      <w:headerReference w:type="first" r:id="rId11"/>
      <w:footerReference w:type="default" r:id="rId12"/>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Tabors Caramanis &amp; Associates</w:t>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25</w:t>
    </w:r>
    <w:r>
      <w:rPr>
        <w:rStyle w:val="PageNumber"/>
      </w:rPr>
      <w:fldChar w:fldCharType="end"/>
    </w:r>
    <w:r>
      <w:rPr>
        <w:rStyle w:val="PageNumber"/>
      </w:rPr>
      <w:tab/>
    </w:r>
    <w:r>
      <w:rPr>
        <w:rStyle w:val="PageNumber"/>
      </w:rPr>
      <w:fldChar w:fldCharType="begin"/>
    </w:r>
    <w:r>
      <w:rPr>
        <w:rStyle w:val="PageNumber"/>
      </w:rPr>
      <w:instrText xml:space="preserve"> DATE \@"MM\/dd\/yy" </w:instrText>
    </w:r>
    <w:r>
      <w:rPr>
        <w:rStyle w:val="PageNumber"/>
      </w:rPr>
      <w:fldChar w:fldCharType="separate"/>
    </w:r>
    <w:r>
      <w:rPr>
        <w:rStyle w:val="PageNumber"/>
      </w:rPr>
      <w:t>09/28/25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uto" w:line="240" w:before="0" w:after="120"/>
        <w:rPr/>
      </w:pPr>
      <w:r>
        <w:rPr>
          <w:rStyle w:val="FootnoteCharacters"/>
        </w:rPr>
        <w:footnoteRef/>
      </w:r>
      <w:r>
        <w:rPr/>
        <w:t xml:space="preserve"> </w:t>
      </w:r>
      <w:r>
        <w:rPr/>
        <w:t>This is identical to the simultaneous rating process employed in the Western Systems Coordinating Council (WSCC).</w:t>
      </w:r>
    </w:p>
  </w:footnote>
  <w:footnote w:id="3">
    <w:p>
      <w:pPr>
        <w:pStyle w:val="FootnoteText"/>
        <w:spacing w:lineRule="auto" w:line="240" w:before="0" w:after="120"/>
        <w:rPr/>
      </w:pPr>
      <w:r>
        <w:rPr>
          <w:rStyle w:val="FootnoteCharacters"/>
        </w:rPr>
        <w:footnoteRef/>
      </w:r>
      <w:r>
        <w:rPr/>
        <w:t xml:space="preserve"> </w:t>
      </w:r>
      <w:r>
        <w:rPr/>
        <w:t>This can be done using a market simulation tool, such as GE MAPS, which models the transmission system in the Eastern Interconnect and assumes perfect competition and marginal cost-based dispatch from generators, and can incorporate demand bids.</w:t>
      </w:r>
    </w:p>
  </w:footnote>
  <w:footnote w:id="4">
    <w:p>
      <w:pPr>
        <w:pStyle w:val="FootnoteText"/>
        <w:spacing w:lineRule="auto" w:line="240" w:before="0" w:after="120"/>
        <w:rPr/>
      </w:pPr>
      <w:r>
        <w:rPr>
          <w:rStyle w:val="FootnoteCharacters"/>
        </w:rPr>
        <w:footnoteRef/>
      </w:r>
      <w:r>
        <w:rPr/>
        <w:t xml:space="preserve"> </w:t>
      </w:r>
      <w:r>
        <w:rPr/>
        <w:t>Existing contracts would be granted PTRs - only residual capacity would be auctioned. The decision of whether to grant native load PTRs is independent of the CMS, and must be decided by stakeholders.</w:t>
      </w:r>
    </w:p>
  </w:footnote>
  <w:footnote w:id="5">
    <w:p>
      <w:pPr>
        <w:pStyle w:val="FootnoteText"/>
        <w:spacing w:lineRule="auto" w:line="240" w:before="0" w:after="120"/>
        <w:rPr/>
      </w:pPr>
      <w:r>
        <w:rPr>
          <w:rStyle w:val="FootnoteCharacters"/>
        </w:rPr>
        <w:footnoteRef/>
      </w:r>
      <w:r>
        <w:rPr/>
        <w:t xml:space="preserve"> </w:t>
      </w:r>
      <w:r>
        <w:rPr/>
        <w:t>This is a non-exhaustive list, but highlights the types of information flows and the physical resource requirements that these entail.</w:t>
      </w:r>
    </w:p>
  </w:footnote>
  <w:footnote w:id="6">
    <w:p>
      <w:pPr>
        <w:pStyle w:val="FootnoteText"/>
        <w:spacing w:lineRule="auto" w:line="240" w:before="0" w:after="120"/>
        <w:rPr/>
      </w:pPr>
      <w:r>
        <w:rPr>
          <w:rStyle w:val="FootnoteCharacters"/>
        </w:rPr>
        <w:footnoteRef/>
      </w:r>
      <w:r>
        <w:rPr/>
        <w:t xml:space="preserve">These issues have been discussed in academic literature, but have not been implemented or proposed in any existing RTO. See Balho H. Kim and Ross Baldick, “Coarse-Grained Distributed Optimal Power Flow,” IEEE Transactions on Power Systems, Vol. 12, No. 2, May 1997, p. 937, Coordinating Congestion Relief Across Multiple Regions, M. Cadwalader, W. Hogan, et al., Oct. 1999.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i w:val="false"/>
        <w:b/>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numFmt w:val="bullet"/>
      <w:lvlText w:val="-"/>
      <w:lvlJc w:val="start"/>
      <w:pPr>
        <w:tabs>
          <w:tab w:val="num" w:pos="360"/>
        </w:tabs>
        <w:ind w:start="360" w:hanging="360"/>
      </w:pPr>
      <w:rPr>
        <w:rFonts w:ascii="Liberation Serif" w:hAnsi="Liberation Serif" w:cs="Liberation Serif"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306"/>
        </w:tabs>
        <w:ind w:start="306" w:hanging="360"/>
      </w:pPr>
      <w:rPr>
        <w:rFonts w:ascii="Times New Roman" w:hAnsi="Times New Roman" w:cs="Times New Roman" w:hint="default"/>
      </w:rPr>
    </w:lvl>
  </w:abstractNum>
  <w:abstractNum w:abstractNumId="14">
    <w:lvl w:ilvl="0">
      <w:start w:val="1"/>
      <w:numFmt w:val="lowerRoman"/>
      <w:lvlText w:val="(%1)"/>
      <w:lvlJc w:val="start"/>
      <w:pPr>
        <w:tabs>
          <w:tab w:val="num" w:pos="780"/>
        </w:tabs>
        <w:ind w:start="780" w:hanging="720"/>
      </w:pPr>
      <w:rPr/>
    </w:lvl>
  </w:abstractNum>
  <w:abstractNum w:abstractNumId="15">
    <w:lvl w:ilvl="0">
      <w:start w:val="1"/>
      <w:numFmt w:val="bullet"/>
      <w:lvlText w:val=""/>
      <w:lvlJc w:val="start"/>
      <w:pPr>
        <w:tabs>
          <w:tab w:val="num" w:pos="720"/>
        </w:tabs>
        <w:ind w:start="72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spacing w:before="240" w:after="60"/>
      <w:outlineLvl w:val="1"/>
    </w:pPr>
    <w:rPr>
      <w:b/>
      <w:i/>
      <w:sz w:val="28"/>
    </w:rPr>
  </w:style>
  <w:style w:type="paragraph" w:styleId="Heading3">
    <w:name w:val="heading 3"/>
    <w:basedOn w:val="Normal"/>
    <w:next w:val="Normal"/>
    <w:qFormat/>
    <w:pPr>
      <w:keepNext w:val="true"/>
      <w:spacing w:before="240" w:after="60"/>
      <w:outlineLvl w:val="2"/>
    </w:pPr>
    <w:rPr>
      <w:i/>
    </w:rPr>
  </w:style>
  <w:style w:type="paragraph" w:styleId="Heading4">
    <w:name w:val="heading 4"/>
    <w:basedOn w:val="Normal"/>
    <w:next w:val="Normal"/>
    <w:qFormat/>
    <w:pPr>
      <w:keepNext w:val="true"/>
      <w:spacing w:before="240" w:after="60"/>
      <w:outlineLvl w:val="3"/>
    </w:pPr>
    <w:rPr>
      <w:b/>
    </w:rPr>
  </w:style>
  <w:style w:type="paragraph" w:styleId="Heading5">
    <w:name w:val="heading 5"/>
    <w:basedOn w:val="Normal"/>
    <w:next w:val="Normal"/>
    <w:qFormat/>
    <w:pPr>
      <w:spacing w:before="240" w:after="60"/>
      <w:outlineLvl w:val="4"/>
    </w:pPr>
    <w:rPr/>
  </w:style>
  <w:style w:type="paragraph" w:styleId="Heading6">
    <w:name w:val="heading 6"/>
    <w:basedOn w:val="Normal"/>
    <w:next w:val="Normal"/>
    <w:qFormat/>
    <w:pPr>
      <w:spacing w:before="240" w:after="60"/>
      <w:outlineLvl w:val="5"/>
    </w:pPr>
    <w:rPr>
      <w:i/>
    </w:r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b/>
      <w:i w:val="false"/>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Times New Roman" w:hAnsi="Times New Roman" w:cs="Times New Roman"/>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BodyTextFirstIndent">
    <w:name w:val="Body Text First Indent"/>
    <w:basedOn w:val="BodyText"/>
    <w:qFormat/>
    <w:pPr>
      <w:ind w:firstLine="720" w:start="0" w:end="0"/>
    </w:pPr>
    <w:rPr/>
  </w:style>
  <w:style w:type="paragraph" w:styleId="FootnoteText">
    <w:name w:val="footnote text"/>
    <w:basedOn w:val="BodyTextFirstIndent"/>
    <w:pPr>
      <w:spacing w:lineRule="auto" w:line="240"/>
    </w:pPr>
    <w:rPr>
      <w:sz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ubtitle">
    <w:name w:val="Subtitle"/>
    <w:basedOn w:val="Normal"/>
    <w:next w:val="BodyText"/>
    <w:qFormat/>
    <w:pPr>
      <w:spacing w:before="0" w:after="60"/>
      <w:jc w:val="center"/>
      <w:outlineLvl w:val="1"/>
    </w:pPr>
    <w:rPr/>
  </w:style>
  <w:style w:type="paragraph" w:styleId="TOAHeading">
    <w:name w:val="TOA Heading"/>
    <w:basedOn w:val="Normal"/>
    <w:next w:val="Normal"/>
    <w:qFormat/>
    <w:pPr>
      <w:spacing w:before="120" w:after="0"/>
    </w:pPr>
    <w:rPr>
      <w:b/>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TableHeader">
    <w:name w:val="Table Header"/>
    <w:basedOn w:val="Normal"/>
    <w:qFormat/>
    <w:pPr>
      <w:spacing w:before="60" w:after="0"/>
      <w:jc w:val="center"/>
    </w:pPr>
    <w:rPr>
      <w:rFonts w:ascii="Arial" w:hAnsi="Arial" w:cs="Arial"/>
      <w:b/>
      <w:spacing w:val="-5"/>
      <w:sz w:val="20"/>
    </w:rPr>
  </w:style>
  <w:style w:type="paragraph" w:styleId="TableofFigures">
    <w:name w:val="Table of Figures"/>
    <w:basedOn w:val="Normal"/>
    <w:qFormat/>
    <w:pPr>
      <w:tabs>
        <w:tab w:val="clear" w:pos="720"/>
        <w:tab w:val="right" w:pos="6480" w:leader="dot"/>
      </w:tabs>
      <w:spacing w:lineRule="atLeast" w:line="240" w:before="0" w:after="240"/>
      <w:ind w:hanging="360" w:start="1440" w:end="0"/>
    </w:pPr>
    <w:rPr>
      <w:rFonts w:ascii="Arial" w:hAnsi="Arial" w:cs="Arial"/>
      <w:spacing w:val="-5"/>
      <w:sz w:val="20"/>
    </w:rPr>
  </w:style>
  <w:style w:type="paragraph" w:styleId="TableText">
    <w:name w:val="Table Text"/>
    <w:basedOn w:val="Normal"/>
    <w:qFormat/>
    <w:pPr>
      <w:spacing w:before="60" w:after="0"/>
    </w:pPr>
    <w:rPr>
      <w:rFonts w:ascii="Arial" w:hAnsi="Arial" w:cs="Arial"/>
      <w:spacing w:val="-5"/>
      <w:sz w:val="16"/>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wmf"/><Relationship Id="rId4" Type="http://schemas.openxmlformats.org/officeDocument/2006/relationships/oleObject" Target="embeddings/oleObject1.bin"/><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4.wmf"/><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2000-07-13T22:06:00Z</dcterms:created>
  <dc:creator/>
  <dc:description/>
  <dc:language>en-CA</dc:language>
  <cp:lastModifiedBy>Narasimha Rao</cp:lastModifiedBy>
  <cp:lastPrinted>2000-07-14T10:13:00Z</cp:lastPrinted>
  <dcterms:modified xsi:type="dcterms:W3CDTF">2000-07-14T11:54:00Z</dcterms:modified>
  <cp:revision>51</cp:revision>
  <dc:subject/>
  <dc:title>Product Definition: REAL Flow, an Alternative to LMP</dc:title>
</cp:coreProperties>
</file>