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360"/>
        <w:jc w:val="center"/>
        <w:rPr>
          <w:b/>
          <w:smallCaps/>
          <w:sz w:val="28"/>
        </w:rPr>
      </w:pPr>
      <w:r>
        <w:rPr>
          <w:b/>
          <w:smallCaps/>
          <w:sz w:val="28"/>
        </w:rPr>
      </w:r>
    </w:p>
    <w:p>
      <w:pPr>
        <w:pStyle w:val="Normal"/>
        <w:widowControl/>
        <w:spacing w:lineRule="auto" w:line="360"/>
        <w:jc w:val="center"/>
        <w:rPr>
          <w:sz w:val="24"/>
        </w:rPr>
      </w:pPr>
      <w:r>
        <w:rPr>
          <w:b/>
          <w:smallCaps/>
          <w:sz w:val="28"/>
        </w:rPr>
        <w:t>REAFFIRMING THE CASE FOR ELECTRICITY DEREGULATION</w:t>
      </w:r>
    </w:p>
    <w:p>
      <w:pPr>
        <w:pStyle w:val="Normal"/>
        <w:widowControl/>
        <w:spacing w:lineRule="auto" w:line="360"/>
        <w:jc w:val="center"/>
        <w:rPr>
          <w:sz w:val="24"/>
        </w:rPr>
      </w:pPr>
      <w:r>
        <w:rPr>
          <w:sz w:val="24"/>
        </w:rPr>
        <w:t>******  March 15, 2001 ******</w:t>
      </w:r>
    </w:p>
    <w:p>
      <w:pPr>
        <w:pStyle w:val="Normal"/>
        <w:widowControl/>
        <w:spacing w:lineRule="auto" w:line="360"/>
        <w:rPr>
          <w:sz w:val="24"/>
        </w:rPr>
      </w:pPr>
      <w:r>
        <w:rPr>
          <w:sz w:val="24"/>
        </w:rPr>
      </w:r>
    </w:p>
    <w:p>
      <w:pPr>
        <w:pStyle w:val="Normal"/>
        <w:widowControl/>
        <w:spacing w:lineRule="auto" w:line="360"/>
        <w:jc w:val="center"/>
        <w:rPr>
          <w:sz w:val="24"/>
        </w:rPr>
      </w:pPr>
      <w:r>
        <w:rPr>
          <w:b/>
          <w:i/>
          <w:sz w:val="24"/>
          <w:u w:val="single"/>
        </w:rPr>
        <w:t xml:space="preserve">Overview and Project Description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The nation stands at a crossroads regarding electricity generation, and the extent to which market forces will govern its production and use.  At this important juncture, market developments and state interventions in California have called into question the political legitimacy of competitive generation markets.  In California, high Power Exchange electricity prices have caused retail rate shock for customers of San Diego Gas &amp; Electric and a profound wholesale-- retail price squeeze on Pacific Gas &amp; Electric and Southern California Edison (in their role as bulk purchasers of electricity for delivery to customers still under the initial rate freeze).  The resulting electricity crisis has become the principal political issue in California, with the California Public Utilities Commission (CPUC), the Governor, engaged in power purchases and the acquisition of distribution assets.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Meanwhile antitrust authorities, the Federal Energy Regulatory Commission (FERC), and private plaintiffs have launched investigations and judicial inquires into market developments.  At this point, the political legitimacy of the restructured market appears entirely lost within the state, fueling further state intervention and involvement.  Summer price spike experiences in some other restructured states, while not as wide-ranging in their impacts, have also been problematic and weakened public support for market approaches.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Despite these developments, there is no reason why a properly-designed competitive generation market should not operate efficiently and produce market-clearing prices reflective of the costs and risks of electricity generation.  Moreover, there is no basis for believing that the traditional alternative – centralized regulatory oversight or control of electricity production – will improve on market outcomes.  Indeed, one need only look at the past two decades of regulation in California to recognize the shortcomings.  Yet, the political reaction to the past several months of market performance has begun to threaten the potential for further reform.  Regression seems likely in some jurisdictions.  The concerns extend beyond the states where recent market experience has been problematic, and have already even reverberated abroad where the California debacle is being used as an excuse to re-regulate.  </w:t>
      </w:r>
    </w:p>
    <w:p>
      <w:pPr>
        <w:pStyle w:val="Normal"/>
        <w:widowControl/>
        <w:spacing w:lineRule="auto" w:line="360"/>
        <w:rPr>
          <w:sz w:val="24"/>
        </w:rPr>
      </w:pPr>
      <w:r>
        <w:rPr>
          <w:sz w:val="24"/>
        </w:rPr>
      </w:r>
    </w:p>
    <w:p>
      <w:pPr>
        <w:pStyle w:val="Normal"/>
        <w:widowControl/>
        <w:spacing w:lineRule="auto" w:line="360"/>
        <w:rPr>
          <w:sz w:val="24"/>
        </w:rPr>
      </w:pPr>
      <w:r>
        <w:rPr>
          <w:sz w:val="24"/>
        </w:rPr>
        <w:t>The potential for expanded electricity restructuring continues to be debated in Congress, and states that have restructured (or are looking to make the effort) cannot help but look at market problems that have occurred, and become disenchanted.  Nor does the “deregulation” that has occurred thus far include all the devolution of government control that will be needed in the long run.  There are many more respects in which government will have to “let go” of these markets, and policy makers need to be reminded why they should finish the job, and guided as to how to do it.</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The economics profession has championed the cause of deregulation everywhere.  Over the past twenty-five years, the economic deregulation of structurally-competitive industries has progressed from theoretical concepts advanced by professional economists, to experiments undertaken by progressive state and federal officials, to legislative action, and finally to the creation of hundreds of billions of dollars in gains to consumers and the economy.  There are few comparable examples where a sustained academic consensus has ultimately translated into a shift in governmental policy.  Gains to consumers have not been limited to the United States, as many other nations have followed suit to varying degrees. Some have in fact pioneered reforms.  </w:t>
      </w:r>
    </w:p>
    <w:p>
      <w:pPr>
        <w:pStyle w:val="Normal"/>
        <w:widowControl/>
        <w:spacing w:lineRule="auto" w:line="360"/>
        <w:rPr>
          <w:sz w:val="24"/>
        </w:rPr>
      </w:pPr>
      <w:r>
        <w:rPr>
          <w:sz w:val="24"/>
        </w:rPr>
      </w:r>
    </w:p>
    <w:p>
      <w:pPr>
        <w:pStyle w:val="Normal"/>
        <w:widowControl/>
        <w:spacing w:lineRule="auto" w:line="360"/>
        <w:rPr>
          <w:sz w:val="24"/>
        </w:rPr>
      </w:pPr>
      <w:r>
        <w:rPr>
          <w:sz w:val="24"/>
        </w:rPr>
        <w:t>Unfortunately, the California debacle now requires that leaders in the economics profession rechampion the case for electricity deregulation, drawing on the many successes that exist around the world.  It is necessary to demonstrate that (i) the California experience is an aberation resulting from a flawed market design, and that (ii) despite differences on the details, the leading lights in the economics profession (including many Nobel Laureates) are in broad agreement with respect to the fundamental benefits that flow from deregulation, and the reasons for the dysfunction in California.</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Considerable consensus remains among economists and policy experts that deregulation and competition remains the only sensible path for electricity generation.  In this study, we propose to collaborate with colleagues across the profession to document and reiterate the case.  Public policy decision makers need to hear a broad and unified affirmation of the correct policy – in the literature, the newspapers, at city halls, in state legislatures, at regulatory commissions and in Congress.  So that the range of support for this affirmation can be recognized, we also seek a broad and representative group of industry interests as sponsors (including utilities, independent power producers and brokers, and customers).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As work product, we propose to create a comprehensive survey of global successes and a persuasive statement of unified support for deregulation from eminent economists and policy experts.  The successes would go beyond electricity.  We would also explain the essential building blocks of a deregulated electricity market necessary for success (including identifying where residual roles for government may exist).  The goal will be to map out the proposed project where expert agreement still lies, and why the goal of a free and unfettered market for electricity generation must still be pursued.    </w:t>
      </w:r>
    </w:p>
    <w:p>
      <w:pPr>
        <w:pStyle w:val="Normal"/>
        <w:widowControl/>
        <w:spacing w:lineRule="auto" w:line="360"/>
        <w:rPr>
          <w:sz w:val="24"/>
        </w:rPr>
      </w:pPr>
      <w:r>
        <w:rPr>
          <w:sz w:val="24"/>
        </w:rPr>
      </w:r>
    </w:p>
    <w:p>
      <w:pPr>
        <w:pStyle w:val="Normal"/>
        <w:widowControl/>
        <w:spacing w:lineRule="auto" w:line="360"/>
        <w:jc w:val="center"/>
        <w:rPr>
          <w:b/>
          <w:i/>
          <w:i/>
          <w:sz w:val="24"/>
          <w:u w:val="single"/>
        </w:rPr>
      </w:pPr>
      <w:r>
        <w:rPr>
          <w:b/>
          <w:i/>
          <w:sz w:val="24"/>
          <w:u w:val="single"/>
        </w:rPr>
      </w:r>
    </w:p>
    <w:p>
      <w:pPr>
        <w:pStyle w:val="Normal"/>
        <w:widowControl/>
        <w:spacing w:lineRule="auto" w:line="360"/>
        <w:jc w:val="center"/>
        <w:rPr>
          <w:sz w:val="24"/>
        </w:rPr>
      </w:pPr>
      <w:r>
        <w:rPr>
          <w:b/>
          <w:i/>
          <w:sz w:val="24"/>
          <w:u w:val="single"/>
        </w:rPr>
        <w:t>Expert Participation</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This project requires the involvement of a broad range of eminent economists and former senior government officials.    The “model” we will use is the ad hoc group of economists pulled together to produce the California Electricity Manifesto.  To this point, we have identified the following as likely participants:  </w:t>
      </w:r>
    </w:p>
    <w:p>
      <w:pPr>
        <w:pStyle w:val="Normal"/>
        <w:widowControl/>
        <w:spacing w:lineRule="auto" w:line="360"/>
        <w:rPr>
          <w:sz w:val="24"/>
        </w:rPr>
      </w:pPr>
      <w:r>
        <w:rPr>
          <w:sz w:val="24"/>
        </w:rPr>
      </w:r>
    </w:p>
    <w:p>
      <w:pPr>
        <w:pStyle w:val="Normal"/>
        <w:widowControl/>
        <w:spacing w:lineRule="auto" w:line="360"/>
        <w:rPr/>
      </w:pPr>
      <w:r>
        <w:rPr>
          <w:i/>
          <w:sz w:val="24"/>
        </w:rPr>
        <w:t xml:space="preserve">Tom Campbell </w:t>
      </w:r>
      <w:r>
        <w:rPr>
          <w:sz w:val="24"/>
        </w:rPr>
        <w:t xml:space="preserve">is Professor of Law at Stanford University, and served in both the US House of Representatives and in the State Senate.  </w:t>
      </w:r>
    </w:p>
    <w:p>
      <w:pPr>
        <w:pStyle w:val="Normal"/>
        <w:widowControl/>
        <w:spacing w:lineRule="auto" w:line="360"/>
        <w:rPr>
          <w:i/>
          <w:i/>
          <w:sz w:val="24"/>
        </w:rPr>
      </w:pPr>
      <w:r>
        <w:rPr>
          <w:i/>
          <w:sz w:val="24"/>
        </w:rPr>
      </w:r>
    </w:p>
    <w:p>
      <w:pPr>
        <w:pStyle w:val="Normal"/>
        <w:widowControl/>
        <w:spacing w:lineRule="auto" w:line="360"/>
        <w:rPr/>
      </w:pPr>
      <w:r>
        <w:rPr>
          <w:i/>
          <w:sz w:val="24"/>
        </w:rPr>
        <w:t>Richard J. Gilbert</w:t>
      </w:r>
      <w:r>
        <w:rPr>
          <w:sz w:val="24"/>
        </w:rPr>
        <w:t xml:space="preserve"> is Professor of Economics at the University of California at Berkeley, and served as Chief Economist in the Antitrust Division of the United States Department of Justice.  Professor Gilbert is former Director of the University of California Energy Institute.    </w:t>
      </w:r>
    </w:p>
    <w:p>
      <w:pPr>
        <w:pStyle w:val="Normal"/>
        <w:widowControl/>
        <w:spacing w:lineRule="auto" w:line="360"/>
        <w:rPr>
          <w:sz w:val="24"/>
        </w:rPr>
      </w:pPr>
      <w:r>
        <w:rPr>
          <w:sz w:val="24"/>
        </w:rPr>
      </w:r>
    </w:p>
    <w:p>
      <w:pPr>
        <w:pStyle w:val="Normal"/>
        <w:widowControl/>
        <w:spacing w:lineRule="auto" w:line="360"/>
        <w:rPr/>
      </w:pPr>
      <w:r>
        <w:rPr>
          <w:i/>
          <w:sz w:val="24"/>
        </w:rPr>
        <w:t>William G. Hamm</w:t>
      </w:r>
      <w:r>
        <w:rPr>
          <w:sz w:val="24"/>
        </w:rPr>
        <w:t xml:space="preserve"> is the former Legislative Analyst for the State of California, and an expert in legislative dynamics, government rulemaking and regulation.   </w:t>
      </w:r>
    </w:p>
    <w:p>
      <w:pPr>
        <w:pStyle w:val="Normal"/>
        <w:widowControl/>
        <w:spacing w:lineRule="auto" w:line="360"/>
        <w:rPr>
          <w:sz w:val="24"/>
        </w:rPr>
      </w:pPr>
      <w:r>
        <w:rPr>
          <w:sz w:val="24"/>
        </w:rPr>
      </w:r>
    </w:p>
    <w:p>
      <w:pPr>
        <w:pStyle w:val="Normal"/>
        <w:widowControl/>
        <w:spacing w:lineRule="auto" w:line="360"/>
        <w:rPr/>
      </w:pPr>
      <w:r>
        <w:rPr>
          <w:i/>
          <w:sz w:val="24"/>
        </w:rPr>
        <w:t>William W. Hogan</w:t>
      </w:r>
      <w:r>
        <w:rPr>
          <w:sz w:val="24"/>
        </w:rPr>
        <w:t xml:space="preserve"> is Lucius N. Littauer Professor of Public Policy and Administration at Harvard University’s Kennedy School of Government.  Professor Hogan is research director of the Harvard Electricity Policy, founder of the Energy Modeling Forum at Stanford University, and past president of the International Association for Energy Economics.   </w:t>
      </w:r>
    </w:p>
    <w:p>
      <w:pPr>
        <w:pStyle w:val="Normal"/>
        <w:widowControl/>
        <w:spacing w:lineRule="auto" w:line="360"/>
        <w:rPr>
          <w:sz w:val="24"/>
        </w:rPr>
      </w:pPr>
      <w:r>
        <w:rPr>
          <w:sz w:val="24"/>
        </w:rPr>
      </w:r>
    </w:p>
    <w:p>
      <w:pPr>
        <w:pStyle w:val="Normal"/>
        <w:widowControl/>
        <w:spacing w:lineRule="auto" w:line="360"/>
        <w:rPr/>
      </w:pPr>
      <w:r>
        <w:rPr>
          <w:i/>
          <w:sz w:val="24"/>
        </w:rPr>
        <w:t>Stephen Littlechild</w:t>
      </w:r>
      <w:r>
        <w:rPr>
          <w:sz w:val="24"/>
        </w:rPr>
        <w:t xml:space="preserve"> served for nearly a decade as the UK Director General of Electricity Supply, heading the Office of Energy Regulation; he also spent six years as a member of the UK’s Monopolies and Mergers Commission.  Professor Littlechild is the author of the widely-adopted RPI-X reform approach to monopoly regulation.  </w:t>
      </w:r>
    </w:p>
    <w:p>
      <w:pPr>
        <w:pStyle w:val="Normal"/>
        <w:widowControl/>
        <w:spacing w:lineRule="auto" w:line="360"/>
        <w:rPr>
          <w:sz w:val="24"/>
        </w:rPr>
      </w:pPr>
      <w:r>
        <w:rPr>
          <w:sz w:val="24"/>
        </w:rPr>
      </w:r>
    </w:p>
    <w:p>
      <w:pPr>
        <w:pStyle w:val="Normal"/>
        <w:widowControl/>
        <w:spacing w:lineRule="auto" w:line="360"/>
        <w:rPr/>
      </w:pPr>
      <w:r>
        <w:rPr>
          <w:i/>
          <w:sz w:val="24"/>
        </w:rPr>
        <w:t>Dan McFadden</w:t>
      </w:r>
      <w:r>
        <w:rPr>
          <w:sz w:val="24"/>
        </w:rPr>
        <w:t xml:space="preserve"> is a Nobel Laureate in Economics at the University of California, Berkeley. </w:t>
      </w:r>
    </w:p>
    <w:p>
      <w:pPr>
        <w:pStyle w:val="Normal"/>
        <w:widowControl/>
        <w:spacing w:lineRule="auto" w:line="360"/>
        <w:rPr>
          <w:sz w:val="24"/>
        </w:rPr>
      </w:pPr>
      <w:r>
        <w:rPr>
          <w:sz w:val="24"/>
        </w:rPr>
      </w:r>
    </w:p>
    <w:p>
      <w:pPr>
        <w:pStyle w:val="Normal"/>
        <w:widowControl/>
        <w:spacing w:lineRule="auto" w:line="360"/>
        <w:rPr/>
      </w:pPr>
      <w:r>
        <w:rPr>
          <w:i/>
          <w:sz w:val="24"/>
        </w:rPr>
        <w:t>Kieran Murray</w:t>
      </w:r>
      <w:r>
        <w:rPr>
          <w:sz w:val="24"/>
        </w:rPr>
        <w:t xml:space="preserve"> is a former senior economic advisor to the New Zealand Treasury and the Leader of the Opposition.  Mr. Murray managed the development of trading arrangements for New Zealand’s electricity spot market, and advised the recently-concluded Ministerial Inquiry into the Electricity Industry. </w:t>
      </w:r>
    </w:p>
    <w:p>
      <w:pPr>
        <w:pStyle w:val="Normal"/>
        <w:widowControl/>
        <w:spacing w:lineRule="auto" w:line="360"/>
        <w:rPr>
          <w:sz w:val="24"/>
        </w:rPr>
      </w:pPr>
      <w:r>
        <w:rPr>
          <w:sz w:val="24"/>
        </w:rPr>
      </w:r>
    </w:p>
    <w:p>
      <w:pPr>
        <w:pStyle w:val="Normal"/>
        <w:widowControl/>
        <w:spacing w:lineRule="auto" w:line="360"/>
        <w:rPr/>
      </w:pPr>
      <w:r>
        <w:rPr>
          <w:i/>
          <w:sz w:val="24"/>
        </w:rPr>
        <w:t>David M. Newbery</w:t>
      </w:r>
      <w:r>
        <w:rPr>
          <w:sz w:val="24"/>
        </w:rPr>
        <w:t xml:space="preserve"> is Professor and Director of the Department of Applied Economics at the University of Cambridge, former president of the European Economic Association, and a recognized expert in the economics and regulation of network industries.       </w:t>
      </w:r>
    </w:p>
    <w:p>
      <w:pPr>
        <w:pStyle w:val="Normal"/>
        <w:widowControl/>
        <w:spacing w:lineRule="auto" w:line="360"/>
        <w:rPr>
          <w:sz w:val="24"/>
        </w:rPr>
      </w:pPr>
      <w:r>
        <w:rPr>
          <w:sz w:val="24"/>
        </w:rPr>
      </w:r>
    </w:p>
    <w:p>
      <w:pPr>
        <w:pStyle w:val="Normal"/>
        <w:widowControl/>
        <w:spacing w:lineRule="auto" w:line="360"/>
        <w:rPr/>
      </w:pPr>
      <w:r>
        <w:rPr>
          <w:i/>
          <w:sz w:val="24"/>
        </w:rPr>
        <w:t>Graham C. Scott</w:t>
      </w:r>
      <w:r>
        <w:rPr>
          <w:sz w:val="24"/>
        </w:rPr>
        <w:t xml:space="preserve"> is former Secretary of the Treasury in New Zealand, where he led competitive structural reforms in the electricity industry.  Dr. Scott serves as Chairman of Electricity Market, Ltd., the company which administers the wholesale electricity market in New Zealand.  </w:t>
      </w:r>
    </w:p>
    <w:p>
      <w:pPr>
        <w:pStyle w:val="Normal"/>
        <w:widowControl/>
        <w:spacing w:lineRule="auto" w:line="360"/>
        <w:rPr>
          <w:sz w:val="24"/>
        </w:rPr>
      </w:pPr>
      <w:r>
        <w:rPr>
          <w:sz w:val="24"/>
        </w:rPr>
      </w:r>
    </w:p>
    <w:p>
      <w:pPr>
        <w:pStyle w:val="Normal"/>
        <w:widowControl/>
        <w:spacing w:lineRule="auto" w:line="360"/>
        <w:rPr/>
      </w:pPr>
      <w:r>
        <w:rPr>
          <w:i/>
          <w:sz w:val="24"/>
        </w:rPr>
        <w:t>Pablo Spiller</w:t>
      </w:r>
      <w:r>
        <w:rPr>
          <w:sz w:val="24"/>
        </w:rPr>
        <w:t xml:space="preserve"> is Joe Shoong Professor of International Business and Chair of the Business and Public Policy Group at U.C. Berkeley’s Haas School of Business.  Professor Spiller has advised numerous Central and South American governments on reform of utility regulation.     </w:t>
      </w:r>
    </w:p>
    <w:p>
      <w:pPr>
        <w:pStyle w:val="Normal"/>
        <w:widowControl/>
        <w:spacing w:lineRule="auto" w:line="360"/>
        <w:rPr>
          <w:sz w:val="24"/>
        </w:rPr>
      </w:pPr>
      <w:r>
        <w:rPr>
          <w:sz w:val="24"/>
        </w:rPr>
      </w:r>
    </w:p>
    <w:p>
      <w:pPr>
        <w:pStyle w:val="Normal"/>
        <w:widowControl/>
        <w:spacing w:lineRule="auto" w:line="360"/>
        <w:rPr/>
      </w:pPr>
      <w:r>
        <w:rPr>
          <w:i/>
          <w:sz w:val="24"/>
        </w:rPr>
        <w:t>David J. Teece</w:t>
      </w:r>
      <w:r>
        <w:rPr>
          <w:sz w:val="24"/>
        </w:rPr>
        <w:t xml:space="preserve"> is Mitsubishi Bank Professor at U.C. Berkeley’s Haas School of Business. Professor Teece is a recognized expert in regulatory and competition policy, and the economics of innovation.  </w:t>
      </w:r>
    </w:p>
    <w:p>
      <w:pPr>
        <w:pStyle w:val="Normal"/>
        <w:widowControl/>
        <w:spacing w:lineRule="auto" w:line="360"/>
        <w:rPr>
          <w:sz w:val="24"/>
        </w:rPr>
      </w:pPr>
      <w:r>
        <w:rPr>
          <w:sz w:val="24"/>
        </w:rPr>
      </w:r>
    </w:p>
    <w:p>
      <w:pPr>
        <w:pStyle w:val="Normal"/>
        <w:widowControl/>
        <w:spacing w:lineRule="auto" w:line="360"/>
        <w:rPr/>
      </w:pPr>
      <w:r>
        <w:rPr>
          <w:i/>
          <w:sz w:val="24"/>
        </w:rPr>
        <w:t>Laura D’Andrea Tyson</w:t>
      </w:r>
      <w:r>
        <w:rPr>
          <w:sz w:val="24"/>
        </w:rPr>
        <w:t xml:space="preserve"> is Professor and Dean of UC Berkeley’s Haas School of Business.  Professor Tyson is former Chair of the President’s Council of Economic Advisors.    </w:t>
      </w:r>
    </w:p>
    <w:p>
      <w:pPr>
        <w:pStyle w:val="Normal"/>
        <w:widowControl/>
        <w:spacing w:lineRule="auto" w:line="360"/>
        <w:rPr>
          <w:sz w:val="24"/>
        </w:rPr>
      </w:pPr>
      <w:r>
        <w:rPr>
          <w:sz w:val="24"/>
        </w:rPr>
        <w:tab/>
      </w:r>
    </w:p>
    <w:p>
      <w:pPr>
        <w:pStyle w:val="Normal"/>
        <w:widowControl/>
        <w:spacing w:lineRule="auto" w:line="360"/>
        <w:rPr/>
      </w:pPr>
      <w:r>
        <w:rPr>
          <w:i/>
          <w:sz w:val="24"/>
        </w:rPr>
        <w:t>Leonard Waverman</w:t>
      </w:r>
      <w:r>
        <w:rPr>
          <w:sz w:val="24"/>
        </w:rPr>
        <w:t xml:space="preserve"> is Professor of Economics at the University of Toronto, a visiting Professor in the Regulator Initiative at the London Business School, and Director for the Global Forum for Competition and Trade Policy. Professor Waverman is a former Commissioner on both the Ontario Telephone Service Commission and the Ontario Energy Board, as well as the former editor of the Energy Journal. </w:t>
      </w:r>
    </w:p>
    <w:p>
      <w:pPr>
        <w:pStyle w:val="Normal"/>
        <w:widowControl/>
        <w:spacing w:lineRule="auto" w:line="360"/>
        <w:rPr>
          <w:sz w:val="24"/>
        </w:rPr>
      </w:pPr>
      <w:r>
        <w:rPr>
          <w:sz w:val="24"/>
        </w:rPr>
        <w:t xml:space="preserve">  </w:t>
      </w:r>
    </w:p>
    <w:p>
      <w:pPr>
        <w:pStyle w:val="Normal"/>
        <w:widowControl/>
        <w:spacing w:lineRule="auto" w:line="360"/>
        <w:rPr/>
      </w:pPr>
      <w:r>
        <w:rPr>
          <w:i/>
          <w:sz w:val="24"/>
        </w:rPr>
        <w:t>G. Mitchell Wilk</w:t>
      </w:r>
      <w:r>
        <w:rPr>
          <w:sz w:val="24"/>
        </w:rPr>
        <w:t xml:space="preserve"> is former Commissioner and President of the California Public Utilities Commission, former Deputy Chief of Staff to the Governor of California, and expert in the politics of regulatory reform and competition in utility industries.       </w:t>
      </w:r>
    </w:p>
    <w:p>
      <w:pPr>
        <w:pStyle w:val="Normal"/>
        <w:widowControl/>
        <w:spacing w:lineRule="auto" w:line="360"/>
        <w:rPr>
          <w:sz w:val="24"/>
        </w:rPr>
      </w:pPr>
      <w:r>
        <w:rPr>
          <w:sz w:val="24"/>
        </w:rPr>
      </w:r>
    </w:p>
    <w:p>
      <w:pPr>
        <w:pStyle w:val="Normal"/>
        <w:widowControl/>
        <w:spacing w:lineRule="auto" w:line="360"/>
        <w:rPr/>
      </w:pPr>
      <w:r>
        <w:rPr>
          <w:i/>
          <w:sz w:val="24"/>
        </w:rPr>
        <w:t>Severin Borenstein</w:t>
      </w:r>
      <w:r>
        <w:rPr>
          <w:sz w:val="24"/>
        </w:rPr>
        <w:t xml:space="preserve"> is Professor of Business Administration at the Haas School of business and Director of the Systemwide UC Energy Institute.</w:t>
      </w:r>
    </w:p>
    <w:p>
      <w:pPr>
        <w:pStyle w:val="Normal"/>
        <w:widowControl/>
        <w:spacing w:lineRule="auto" w:line="360"/>
        <w:rPr>
          <w:sz w:val="24"/>
        </w:rPr>
      </w:pPr>
      <w:r>
        <w:rPr>
          <w:sz w:val="24"/>
        </w:rPr>
      </w:r>
    </w:p>
    <w:p>
      <w:pPr>
        <w:pStyle w:val="Normal"/>
        <w:widowControl/>
        <w:spacing w:lineRule="auto" w:line="360"/>
        <w:rPr/>
      </w:pPr>
      <w:r>
        <w:rPr>
          <w:i/>
          <w:sz w:val="24"/>
        </w:rPr>
        <w:t>Lee Friedman</w:t>
      </w:r>
      <w:r>
        <w:rPr>
          <w:sz w:val="24"/>
        </w:rPr>
        <w:t xml:space="preserve"> is Professor of Public Policy at the University of California, Berkeley.</w:t>
      </w:r>
    </w:p>
    <w:p>
      <w:pPr>
        <w:pStyle w:val="Normal"/>
        <w:widowControl/>
        <w:spacing w:lineRule="auto" w:line="360"/>
        <w:rPr>
          <w:sz w:val="24"/>
        </w:rPr>
      </w:pPr>
      <w:r>
        <w:rPr>
          <w:sz w:val="24"/>
        </w:rPr>
      </w:r>
    </w:p>
    <w:p>
      <w:pPr>
        <w:pStyle w:val="Heading2"/>
        <w:ind w:hanging="0" w:start="0"/>
        <w:rPr/>
      </w:pPr>
      <w:r>
        <w:rPr/>
        <w:t xml:space="preserve">Paul Joskow </w:t>
      </w:r>
      <w:r>
        <w:rPr>
          <w:i w:val="false"/>
        </w:rPr>
        <w:t>is Professor of Economics at MIT.</w:t>
      </w:r>
    </w:p>
    <w:p>
      <w:pPr>
        <w:pStyle w:val="Heading2"/>
        <w:ind w:hanging="0" w:start="0"/>
        <w:rPr>
          <w:i w:val="false"/>
          <w:i w:val="false"/>
        </w:rPr>
      </w:pPr>
      <w:r>
        <w:rPr>
          <w:i w:val="false"/>
        </w:rPr>
      </w:r>
    </w:p>
    <w:p>
      <w:pPr>
        <w:pStyle w:val="Heading2"/>
        <w:ind w:hanging="0" w:start="0"/>
        <w:rPr/>
      </w:pPr>
      <w:r>
        <w:rPr/>
        <w:t xml:space="preserve">Carl Danner </w:t>
      </w:r>
      <w:r>
        <w:rPr>
          <w:i w:val="false"/>
        </w:rPr>
        <w:t>is a Director at LECG and is an expert in regulatory economics and public policy and has served on the staff of the CPUC.</w:t>
      </w:r>
      <w:r>
        <w:rPr/>
        <w:t xml:space="preserve"> </w:t>
      </w:r>
    </w:p>
    <w:p>
      <w:pPr>
        <w:pStyle w:val="Normal"/>
        <w:widowControl/>
        <w:spacing w:lineRule="auto" w:line="360"/>
        <w:rPr>
          <w:sz w:val="24"/>
        </w:rPr>
      </w:pPr>
      <w:r>
        <w:rPr>
          <w:sz w:val="24"/>
        </w:rPr>
      </w:r>
    </w:p>
    <w:p>
      <w:pPr>
        <w:pStyle w:val="Heading1"/>
        <w:ind w:hanging="0" w:start="0"/>
        <w:rPr/>
      </w:pPr>
      <w:r>
        <w:rPr/>
        <w:t>Project Leadership</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The project will be led by Professors Teece and Tyson, supported by Dr. Carl Danner.  As project leaders, Teece and Tyson will assemble the experts, distill the project findings, identify common agreement, and articulate this to the broader community of policy makers.  Danner and LECG staff will provide needed support, and will work directly with the experts in all phases of the project.  </w:t>
      </w:r>
    </w:p>
    <w:p>
      <w:pPr>
        <w:pStyle w:val="Normal"/>
        <w:widowControl/>
        <w:spacing w:lineRule="auto" w:line="360"/>
        <w:rPr>
          <w:sz w:val="24"/>
        </w:rPr>
      </w:pPr>
      <w:r>
        <w:rPr>
          <w:sz w:val="24"/>
        </w:rPr>
      </w:r>
    </w:p>
    <w:p>
      <w:pPr>
        <w:pStyle w:val="Heading1"/>
        <w:ind w:hanging="0" w:start="0"/>
        <w:rPr/>
      </w:pPr>
      <w:r>
        <w:rPr/>
        <w:t>Proposed Project Sponsorship</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As indicated above, we seek the sponsorship of a substantial number of participants in electricity markets, including (but not limited to) utilities, independent power producers and marketers, and substantial energy consumers.  Broad sponsorship is important for several reasons.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First, it is important that a consensus of expert economic opinion is also seen to reflect a consensus from those affected by electricity restructuring and competition, since the risks to which the study is responding are political in nature.  A broadly-sponsored study will have a greater chance of political acceptance in this environment.  Second, the study will benefit from the participation of a broad range of interests in helping to distinguish deregulatory principles and experiences from more detailed sector-specific restructuring positions and disputes.  </w:t>
      </w:r>
    </w:p>
    <w:p>
      <w:pPr>
        <w:pStyle w:val="Normal"/>
        <w:widowControl/>
        <w:spacing w:lineRule="auto" w:line="360"/>
        <w:rPr>
          <w:sz w:val="24"/>
        </w:rPr>
      </w:pPr>
      <w:r>
        <w:rPr>
          <w:sz w:val="24"/>
        </w:rPr>
      </w:r>
    </w:p>
    <w:p>
      <w:pPr>
        <w:pStyle w:val="Normal"/>
        <w:widowControl/>
        <w:spacing w:lineRule="auto" w:line="360"/>
        <w:rPr>
          <w:sz w:val="24"/>
        </w:rPr>
      </w:pPr>
      <w:r>
        <w:rPr>
          <w:sz w:val="24"/>
        </w:rPr>
        <w:t>As noted above, our intent is to characterize the extent of agreement among eminent economists about the fundamental choice between competition, versus governmental command and control oversight of the electricity generation industry.  We believe we can distill the critical elements of this consensus without a need to delve into subsidiary issues on which reasonable people (and different segments of the industry) can disagree.  Finally, broad sponsorship is also helpful in controlling the cost of participation for individual sponsoring firms.</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Sponsoring firms will be provided specific opportunities to provide input into the study, and to review and comment upon the draft report.  We will assist report sponsors in coordinating any efforts they wish to make to publicize the report and its findings at the same time the final version is released publicly.  We will also make members of the report team available to interested project sponsors to assist in their efforts to explain the project and its results.  Note that we reserve the rights of academic independence for project experts, and that project sponsorship will not include the right to veto particular opinions or conclusions the report may contain.         </w:t>
      </w:r>
    </w:p>
    <w:p>
      <w:pPr>
        <w:pStyle w:val="Normal"/>
        <w:widowControl/>
        <w:spacing w:lineRule="auto" w:line="360"/>
        <w:rPr>
          <w:sz w:val="24"/>
        </w:rPr>
      </w:pPr>
      <w:r>
        <w:rPr>
          <w:sz w:val="24"/>
        </w:rPr>
      </w:r>
    </w:p>
    <w:p>
      <w:pPr>
        <w:pStyle w:val="Normal"/>
        <w:widowControl/>
        <w:spacing w:lineRule="auto" w:line="360"/>
        <w:rPr>
          <w:sz w:val="24"/>
        </w:rPr>
      </w:pPr>
      <w:r>
        <w:rPr>
          <w:sz w:val="24"/>
        </w:rPr>
      </w:r>
    </w:p>
    <w:p>
      <w:pPr>
        <w:pStyle w:val="Normal"/>
        <w:widowControl/>
        <w:spacing w:lineRule="auto" w:line="360"/>
        <w:jc w:val="center"/>
        <w:rPr>
          <w:sz w:val="24"/>
        </w:rPr>
      </w:pPr>
      <w:r>
        <w:rPr>
          <w:b/>
          <w:i/>
          <w:sz w:val="24"/>
          <w:u w:val="single"/>
        </w:rPr>
        <w:t>Preliminary Project Outline</w:t>
      </w:r>
    </w:p>
    <w:p>
      <w:pPr>
        <w:pStyle w:val="Normal"/>
        <w:widowControl/>
        <w:spacing w:lineRule="auto" w:line="360"/>
        <w:rPr>
          <w:sz w:val="24"/>
        </w:rPr>
      </w:pPr>
      <w:r>
        <w:rPr>
          <w:sz w:val="24"/>
        </w:rPr>
      </w:r>
    </w:p>
    <w:p>
      <w:pPr>
        <w:pStyle w:val="Normal"/>
        <w:widowControl/>
        <w:spacing w:lineRule="auto" w:line="360"/>
        <w:rPr>
          <w:sz w:val="24"/>
        </w:rPr>
      </w:pPr>
      <w:r>
        <w:rPr>
          <w:sz w:val="24"/>
        </w:rPr>
        <w:t>We propose the following as the tentative list of analyses and investigations to perform (e.g. the following could conceivably serve as a sample table of contents for the final report):</w:t>
      </w:r>
    </w:p>
    <w:p>
      <w:pPr>
        <w:pStyle w:val="Normal"/>
        <w:widowControl/>
        <w:spacing w:lineRule="auto" w:line="360"/>
        <w:rPr>
          <w:sz w:val="24"/>
        </w:rPr>
      </w:pPr>
      <w:r>
        <w:rPr>
          <w:sz w:val="24"/>
        </w:rPr>
      </w:r>
    </w:p>
    <w:p>
      <w:pPr>
        <w:pStyle w:val="Normal"/>
        <w:widowControl/>
        <w:spacing w:lineRule="auto" w:line="360"/>
        <w:rPr>
          <w:sz w:val="24"/>
        </w:rPr>
      </w:pPr>
      <w:r>
        <w:rPr>
          <w:sz w:val="24"/>
        </w:rPr>
        <w:t>1. Overview and Definition of the Problem</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History and extent of restructuring efforts in the US and abroad</w:t>
      </w:r>
    </w:p>
    <w:p>
      <w:pPr>
        <w:pStyle w:val="Normal"/>
        <w:widowControl/>
        <w:spacing w:lineRule="auto" w:line="360"/>
        <w:ind w:start="720" w:end="0"/>
        <w:rPr>
          <w:sz w:val="24"/>
        </w:rPr>
      </w:pPr>
      <w:r>
        <w:rPr>
          <w:sz w:val="24"/>
        </w:rPr>
        <w:t>Problems and challenges that have developed</w:t>
      </w:r>
    </w:p>
    <w:p>
      <w:pPr>
        <w:pStyle w:val="Normal"/>
        <w:widowControl/>
        <w:spacing w:lineRule="auto" w:line="360"/>
        <w:ind w:start="720" w:end="0"/>
        <w:rPr>
          <w:sz w:val="24"/>
        </w:rPr>
      </w:pPr>
      <w:r>
        <w:rPr>
          <w:sz w:val="24"/>
        </w:rPr>
        <w:t>Quantification of the benefits</w:t>
      </w:r>
    </w:p>
    <w:p>
      <w:pPr>
        <w:pStyle w:val="Normal"/>
        <w:widowControl/>
        <w:spacing w:lineRule="auto" w:line="360"/>
        <w:ind w:start="720" w:end="0"/>
        <w:rPr>
          <w:sz w:val="24"/>
        </w:rPr>
      </w:pPr>
      <w:r>
        <w:rPr>
          <w:sz w:val="24"/>
        </w:rPr>
        <w:t>Unanimity of experience and expert opinion favoring deregulation of competitive industries</w:t>
      </w:r>
    </w:p>
    <w:p>
      <w:pPr>
        <w:pStyle w:val="Normal"/>
        <w:widowControl/>
        <w:spacing w:lineRule="auto" w:line="360"/>
        <w:rPr>
          <w:sz w:val="24"/>
        </w:rPr>
      </w:pPr>
      <w:r>
        <w:rPr>
          <w:sz w:val="24"/>
        </w:rPr>
        <w:tab/>
        <w:t>Isolating the negative experiences</w:t>
      </w:r>
    </w:p>
    <w:p>
      <w:pPr>
        <w:pStyle w:val="Normal"/>
        <w:widowControl/>
        <w:spacing w:lineRule="auto" w:line="360"/>
        <w:rPr>
          <w:sz w:val="24"/>
        </w:rPr>
      </w:pPr>
      <w:r>
        <w:rPr>
          <w:sz w:val="24"/>
        </w:rPr>
        <w:tab/>
        <w:t>Ingredients of success.</w:t>
      </w:r>
    </w:p>
    <w:p>
      <w:pPr>
        <w:pStyle w:val="Normal"/>
        <w:widowControl/>
        <w:spacing w:lineRule="auto" w:line="360"/>
        <w:rPr>
          <w:sz w:val="24"/>
        </w:rPr>
      </w:pPr>
      <w:r>
        <w:rPr>
          <w:sz w:val="24"/>
        </w:rPr>
      </w:r>
    </w:p>
    <w:p>
      <w:pPr>
        <w:pStyle w:val="Normal"/>
        <w:widowControl/>
        <w:spacing w:lineRule="auto" w:line="360"/>
        <w:rPr>
          <w:sz w:val="24"/>
        </w:rPr>
      </w:pPr>
      <w:r>
        <w:rPr>
          <w:sz w:val="24"/>
        </w:rPr>
        <w:t>2. Theory and experience of deregulation in structurally competitive industries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Economic theory: Determining what is competitive; and why it should be unregulated</w:t>
      </w:r>
    </w:p>
    <w:p>
      <w:pPr>
        <w:pStyle w:val="Normal"/>
        <w:widowControl/>
        <w:tabs>
          <w:tab w:val="left" w:pos="720" w:leader="none"/>
          <w:tab w:val="left" w:pos="1440" w:leader="none"/>
        </w:tabs>
        <w:spacing w:lineRule="auto" w:line="360"/>
        <w:ind w:hanging="1440" w:start="1440" w:end="0"/>
        <w:rPr>
          <w:sz w:val="24"/>
        </w:rPr>
      </w:pPr>
      <w:r>
        <w:rPr>
          <w:sz w:val="24"/>
        </w:rPr>
        <w:tab/>
        <w:t xml:space="preserve">Case studies of deregulation: Trucking; airlines; telecommunications; wellhead natural gas; interstate natural gas pipelines; railroads; others  </w:t>
      </w:r>
    </w:p>
    <w:p>
      <w:pPr>
        <w:pStyle w:val="Normal"/>
        <w:widowControl/>
        <w:spacing w:lineRule="auto" w:line="360"/>
        <w:rPr>
          <w:sz w:val="24"/>
        </w:rPr>
      </w:pPr>
      <w:r>
        <w:rPr>
          <w:sz w:val="24"/>
        </w:rPr>
      </w:r>
    </w:p>
    <w:p>
      <w:pPr>
        <w:pStyle w:val="Normal"/>
        <w:widowControl/>
        <w:spacing w:lineRule="auto" w:line="360"/>
        <w:rPr>
          <w:sz w:val="24"/>
        </w:rPr>
      </w:pPr>
      <w:r>
        <w:rPr>
          <w:sz w:val="24"/>
        </w:rPr>
        <w:t>3. Fitting the facts to electricity</w:t>
      </w:r>
    </w:p>
    <w:p>
      <w:pPr>
        <w:pStyle w:val="Normal"/>
        <w:widowControl/>
        <w:spacing w:lineRule="auto" w:line="360"/>
        <w:rPr>
          <w:sz w:val="24"/>
        </w:rPr>
      </w:pPr>
      <w:r>
        <w:rPr>
          <w:sz w:val="24"/>
        </w:rPr>
        <w:tab/>
      </w:r>
    </w:p>
    <w:p>
      <w:pPr>
        <w:pStyle w:val="Normal"/>
        <w:widowControl/>
        <w:spacing w:lineRule="auto" w:line="360"/>
        <w:rPr>
          <w:sz w:val="24"/>
        </w:rPr>
      </w:pPr>
      <w:r>
        <w:rPr>
          <w:sz w:val="24"/>
        </w:rPr>
        <w:tab/>
        <w:t>Why electricity generation fits the market model (e.g. why it is not a natural monopoly)</w:t>
      </w:r>
    </w:p>
    <w:p>
      <w:pPr>
        <w:pStyle w:val="Normal"/>
        <w:widowControl/>
        <w:spacing w:lineRule="auto" w:line="360"/>
        <w:ind w:start="720" w:end="0"/>
        <w:rPr>
          <w:sz w:val="24"/>
        </w:rPr>
      </w:pPr>
      <w:r>
        <w:rPr>
          <w:sz w:val="24"/>
        </w:rPr>
        <w:t>Identifying special characteristics of electricity generation that must be accommodated in a market model (e.g. need to dispatch, perishability)</w:t>
      </w:r>
    </w:p>
    <w:p>
      <w:pPr>
        <w:pStyle w:val="Normal"/>
        <w:widowControl/>
        <w:spacing w:lineRule="auto" w:line="360"/>
        <w:rPr>
          <w:sz w:val="24"/>
        </w:rPr>
      </w:pPr>
      <w:r>
        <w:rPr>
          <w:sz w:val="24"/>
        </w:rPr>
      </w:r>
    </w:p>
    <w:p>
      <w:pPr>
        <w:pStyle w:val="Normal"/>
        <w:widowControl/>
        <w:spacing w:lineRule="auto" w:line="360"/>
        <w:rPr>
          <w:sz w:val="24"/>
        </w:rPr>
      </w:pPr>
      <w:r>
        <w:rPr>
          <w:sz w:val="24"/>
        </w:rPr>
        <w:t>4. Building blocks for success: Minimum public policy requirements to support deregulation</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Remove barriers to entry into generation (both legal and practical barriers, e.g. permitting delays)</w:t>
      </w:r>
    </w:p>
    <w:p>
      <w:pPr>
        <w:pStyle w:val="Normal"/>
        <w:widowControl/>
        <w:spacing w:lineRule="auto" w:line="360"/>
        <w:ind w:start="720" w:end="0"/>
        <w:rPr>
          <w:sz w:val="24"/>
        </w:rPr>
      </w:pPr>
      <w:r>
        <w:rPr>
          <w:sz w:val="24"/>
        </w:rPr>
        <w:t>Create (or permit to develop) one or more spot markets</w:t>
      </w:r>
    </w:p>
    <w:p>
      <w:pPr>
        <w:pStyle w:val="Normal"/>
        <w:widowControl/>
        <w:spacing w:lineRule="auto" w:line="360"/>
        <w:ind w:start="720" w:end="0"/>
        <w:rPr>
          <w:sz w:val="24"/>
        </w:rPr>
      </w:pPr>
      <w:r>
        <w:rPr>
          <w:sz w:val="24"/>
        </w:rPr>
        <w:t>Unbundle the retail price of the electricity commodity</w:t>
      </w:r>
    </w:p>
    <w:p>
      <w:pPr>
        <w:pStyle w:val="Normal"/>
        <w:widowControl/>
        <w:spacing w:lineRule="auto" w:line="360"/>
        <w:ind w:start="720" w:end="0"/>
        <w:rPr>
          <w:sz w:val="24"/>
        </w:rPr>
      </w:pPr>
      <w:r>
        <w:rPr>
          <w:sz w:val="24"/>
        </w:rPr>
        <w:t xml:space="preserve">Resolve question of recovery of stranded costs created by the shift to a market model </w:t>
      </w:r>
    </w:p>
    <w:p>
      <w:pPr>
        <w:pStyle w:val="Normal"/>
        <w:widowControl/>
        <w:spacing w:lineRule="auto" w:line="360"/>
        <w:ind w:start="720" w:end="0"/>
        <w:rPr>
          <w:sz w:val="24"/>
        </w:rPr>
      </w:pPr>
      <w:r>
        <w:rPr>
          <w:sz w:val="24"/>
        </w:rPr>
        <w:t>Determine responsibility for dispatch, and rules for it</w:t>
      </w:r>
    </w:p>
    <w:p>
      <w:pPr>
        <w:pStyle w:val="Normal"/>
        <w:widowControl/>
        <w:spacing w:lineRule="auto" w:line="360"/>
        <w:ind w:start="720" w:end="0"/>
        <w:rPr>
          <w:sz w:val="24"/>
        </w:rPr>
      </w:pPr>
      <w:r>
        <w:rPr>
          <w:sz w:val="24"/>
        </w:rPr>
        <w:t>Allow free contracting, options trading, hedging, etc.  by all market participants</w:t>
      </w:r>
    </w:p>
    <w:p>
      <w:pPr>
        <w:pStyle w:val="Normal"/>
        <w:widowControl/>
        <w:spacing w:lineRule="auto" w:line="360"/>
        <w:ind w:start="720" w:end="0"/>
        <w:rPr>
          <w:sz w:val="24"/>
        </w:rPr>
      </w:pPr>
      <w:r>
        <w:rPr>
          <w:sz w:val="24"/>
        </w:rPr>
        <w:t>Designate retail provider(s) of last resort, and related rules</w:t>
      </w:r>
    </w:p>
    <w:p>
      <w:pPr>
        <w:pStyle w:val="Normal"/>
        <w:widowControl/>
        <w:spacing w:lineRule="auto" w:line="360"/>
        <w:ind w:hanging="720" w:start="1440" w:end="0"/>
        <w:rPr>
          <w:sz w:val="24"/>
        </w:rPr>
      </w:pPr>
      <w:r>
        <w:rPr>
          <w:sz w:val="24"/>
        </w:rPr>
        <w:t>Address initial structural antitrust concerns: Horizontal (market concentration in generation) and vertical (possible foreclosure of access to distribution by wires company)</w:t>
      </w:r>
    </w:p>
    <w:p>
      <w:pPr>
        <w:pStyle w:val="Normal"/>
        <w:widowControl/>
        <w:spacing w:lineRule="auto" w:line="360"/>
        <w:ind w:hanging="720" w:start="1440" w:end="0"/>
        <w:rPr>
          <w:sz w:val="24"/>
        </w:rPr>
      </w:pPr>
      <w:r>
        <w:rPr>
          <w:sz w:val="24"/>
        </w:rPr>
        <w:t xml:space="preserve">Address monopoly utility cross-subsidy concerns (e.g. by use of price cap) if not already addressed through existing oversight of intra-utility monopoly – competitive interactions </w:t>
      </w:r>
    </w:p>
    <w:p>
      <w:pPr>
        <w:pStyle w:val="Normal"/>
        <w:widowControl/>
        <w:spacing w:lineRule="auto" w:line="360"/>
        <w:ind w:start="720" w:end="0"/>
        <w:rPr>
          <w:sz w:val="24"/>
        </w:rPr>
      </w:pPr>
      <w:r>
        <w:rPr>
          <w:sz w:val="24"/>
        </w:rPr>
        <w:t>Importance of customer time-of-use meters</w:t>
      </w:r>
    </w:p>
    <w:p>
      <w:pPr>
        <w:pStyle w:val="Normal"/>
        <w:widowControl/>
        <w:spacing w:lineRule="auto" w:line="360"/>
        <w:ind w:start="720" w:end="0"/>
        <w:rPr>
          <w:sz w:val="24"/>
        </w:rPr>
      </w:pPr>
      <w:r>
        <w:rPr>
          <w:sz w:val="24"/>
        </w:rPr>
        <w:t>Consider augmentation of transmission capacity to alleviate bottlenecks</w:t>
      </w:r>
    </w:p>
    <w:p>
      <w:pPr>
        <w:pStyle w:val="Normal"/>
        <w:widowControl/>
        <w:spacing w:lineRule="auto" w:line="360"/>
        <w:rPr>
          <w:sz w:val="24"/>
        </w:rPr>
      </w:pPr>
      <w:r>
        <w:rPr>
          <w:sz w:val="24"/>
        </w:rPr>
      </w:r>
    </w:p>
    <w:p>
      <w:pPr>
        <w:pStyle w:val="Normal"/>
        <w:widowControl/>
        <w:spacing w:lineRule="auto" w:line="360"/>
        <w:jc w:val="center"/>
        <w:rPr>
          <w:b/>
          <w:i/>
          <w:i/>
          <w:sz w:val="24"/>
          <w:u w:val="single"/>
        </w:rPr>
      </w:pPr>
      <w:r>
        <w:rPr>
          <w:b/>
          <w:i/>
          <w:sz w:val="24"/>
          <w:u w:val="single"/>
        </w:rPr>
        <w:t>Proposed project timetable</w:t>
      </w:r>
    </w:p>
    <w:p>
      <w:pPr>
        <w:pStyle w:val="Normal"/>
        <w:widowControl/>
        <w:spacing w:lineRule="auto" w:line="360"/>
        <w:rPr>
          <w:sz w:val="24"/>
        </w:rPr>
      </w:pPr>
      <w:r>
        <w:rPr>
          <w:sz w:val="24"/>
        </w:rPr>
        <w:t>4-6 months from inception.</w:t>
      </w:r>
    </w:p>
    <w:p>
      <w:pPr>
        <w:pStyle w:val="Normal"/>
        <w:widowControl/>
        <w:spacing w:lineRule="auto" w:line="360"/>
        <w:rPr>
          <w:sz w:val="24"/>
        </w:rPr>
      </w:pPr>
      <w:r>
        <w:rPr>
          <w:sz w:val="24"/>
        </w:rPr>
      </w:r>
    </w:p>
    <w:p>
      <w:pPr>
        <w:pStyle w:val="Heading1"/>
        <w:ind w:hanging="0" w:start="0"/>
        <w:rPr/>
      </w:pPr>
      <w:r>
        <w:rPr/>
        <w:t>Budget</w:t>
      </w:r>
    </w:p>
    <w:p>
      <w:pPr>
        <w:pStyle w:val="Normal"/>
        <w:widowControl/>
        <w:spacing w:lineRule="auto" w:line="360"/>
        <w:rPr>
          <w:sz w:val="24"/>
        </w:rPr>
      </w:pPr>
      <w:r>
        <w:rPr>
          <w:sz w:val="24"/>
        </w:rPr>
        <w:t>We propose the following:</w:t>
      </w:r>
    </w:p>
    <w:p>
      <w:pPr>
        <w:pStyle w:val="Normal"/>
        <w:widowControl/>
        <w:spacing w:lineRule="auto" w:line="360"/>
        <w:rPr>
          <w:sz w:val="24"/>
        </w:rPr>
      </w:pPr>
      <w:r>
        <w:rPr>
          <w:sz w:val="24"/>
        </w:rPr>
      </w:r>
    </w:p>
    <w:p>
      <w:pPr>
        <w:pStyle w:val="Normal"/>
        <w:widowControl/>
        <w:spacing w:lineRule="auto" w:line="360"/>
        <w:rPr>
          <w:sz w:val="24"/>
        </w:rPr>
      </w:pPr>
      <w:r>
        <w:rPr>
          <w:sz w:val="24"/>
        </w:rPr>
        <w:t>1.</w:t>
        <w:tab/>
        <w:t>Project leaders</w:t>
        <w:tab/>
        <w:tab/>
        <w:tab/>
        <w:t>$150K each</w:t>
        <w:tab/>
        <w:tab/>
        <w:tab/>
      </w:r>
    </w:p>
    <w:p>
      <w:pPr>
        <w:pStyle w:val="Normal"/>
        <w:widowControl/>
        <w:spacing w:lineRule="auto" w:line="360"/>
        <w:rPr>
          <w:sz w:val="24"/>
        </w:rPr>
      </w:pPr>
      <w:r>
        <w:rPr>
          <w:sz w:val="24"/>
        </w:rPr>
        <w:tab/>
        <w:tab/>
        <w:tab/>
        <w:tab/>
        <w:tab/>
        <w:t xml:space="preserve"> 2 x 150</w:t>
        <w:tab/>
        <w:tab/>
        <w:tab/>
        <w:t>$300K</w:t>
      </w:r>
    </w:p>
    <w:p>
      <w:pPr>
        <w:pStyle w:val="Normal"/>
        <w:widowControl/>
        <w:spacing w:lineRule="auto" w:line="360"/>
        <w:rPr>
          <w:sz w:val="24"/>
        </w:rPr>
      </w:pPr>
      <w:r>
        <w:rPr>
          <w:sz w:val="24"/>
        </w:rPr>
      </w:r>
    </w:p>
    <w:p>
      <w:pPr>
        <w:pStyle w:val="Normal"/>
        <w:widowControl/>
        <w:spacing w:lineRule="auto" w:line="360"/>
        <w:rPr>
          <w:sz w:val="24"/>
        </w:rPr>
      </w:pPr>
      <w:r>
        <w:rPr>
          <w:sz w:val="24"/>
        </w:rPr>
        <w:t>2.</w:t>
        <w:tab/>
        <w:t>Experts</w:t>
        <w:tab/>
        <w:tab/>
        <w:tab/>
        <w:t>15 x 25</w:t>
        <w:tab/>
        <w:tab/>
        <w:tab/>
        <w:t xml:space="preserve"> 375K</w:t>
        <w:tab/>
        <w:tab/>
      </w:r>
    </w:p>
    <w:p>
      <w:pPr>
        <w:pStyle w:val="Normal"/>
        <w:widowControl/>
        <w:spacing w:lineRule="auto" w:line="360"/>
        <w:rPr>
          <w:sz w:val="24"/>
        </w:rPr>
      </w:pPr>
      <w:r>
        <w:rPr>
          <w:sz w:val="24"/>
        </w:rPr>
      </w:r>
    </w:p>
    <w:p>
      <w:pPr>
        <w:pStyle w:val="Normal"/>
        <w:widowControl/>
        <w:spacing w:lineRule="auto" w:line="360"/>
        <w:rPr/>
      </w:pPr>
      <w:r>
        <w:rPr>
          <w:sz w:val="24"/>
        </w:rPr>
        <w:t>3.</w:t>
        <w:tab/>
        <w:t>LECG staff support</w:t>
        <w:tab/>
        <w:tab/>
        <w:t>As needed</w:t>
        <w:tab/>
        <w:tab/>
        <w:tab/>
      </w:r>
      <w:r>
        <w:rPr>
          <w:sz w:val="24"/>
          <w:u w:val="single"/>
        </w:rPr>
        <w:t xml:space="preserve"> 300K</w:t>
      </w:r>
      <w:r>
        <w:rPr>
          <w:sz w:val="24"/>
        </w:rPr>
        <w:t xml:space="preserve"> estimated</w:t>
      </w:r>
    </w:p>
    <w:p>
      <w:pPr>
        <w:pStyle w:val="Normal"/>
        <w:widowControl/>
        <w:spacing w:lineRule="auto" w:line="360"/>
        <w:rPr>
          <w:sz w:val="24"/>
        </w:rPr>
      </w:pPr>
      <w:r>
        <w:rPr>
          <w:sz w:val="24"/>
        </w:rPr>
      </w:r>
    </w:p>
    <w:p>
      <w:pPr>
        <w:pStyle w:val="Normal"/>
        <w:widowControl/>
        <w:spacing w:lineRule="auto" w:line="360"/>
        <w:rPr/>
      </w:pPr>
      <w:r>
        <w:rPr>
          <w:sz w:val="24"/>
        </w:rPr>
        <w:tab/>
        <w:tab/>
        <w:tab/>
        <w:tab/>
        <w:tab/>
        <w:t>Professional Fees</w:t>
        <w:tab/>
        <w:tab/>
      </w:r>
      <w:r>
        <w:rPr>
          <w:sz w:val="24"/>
          <w:u w:val="single"/>
        </w:rPr>
        <w:t>$975K</w:t>
      </w:r>
      <w:r>
        <w:rPr>
          <w:sz w:val="24"/>
        </w:rPr>
        <w:tab/>
      </w:r>
    </w:p>
    <w:p>
      <w:pPr>
        <w:pStyle w:val="Normal"/>
        <w:widowControl/>
        <w:spacing w:lineRule="auto" w:line="360"/>
        <w:rPr>
          <w:sz w:val="24"/>
        </w:rPr>
      </w:pPr>
      <w:r>
        <w:rPr>
          <w:sz w:val="24"/>
        </w:rPr>
      </w:r>
    </w:p>
    <w:p>
      <w:pPr>
        <w:pStyle w:val="Normal"/>
        <w:widowControl/>
        <w:spacing w:lineRule="auto" w:line="360"/>
        <w:rPr>
          <w:sz w:val="24"/>
        </w:rPr>
      </w:pPr>
      <w:r>
        <w:rPr>
          <w:sz w:val="24"/>
        </w:rPr>
        <w:t>Printing &amp; distribution cost</w:t>
        <w:tab/>
        <w:tab/>
        <w:tab/>
        <w:tab/>
        <w:tab/>
        <w:tab/>
        <w:t xml:space="preserve">    25K</w:t>
      </w:r>
    </w:p>
    <w:p>
      <w:pPr>
        <w:pStyle w:val="Normal"/>
        <w:widowControl/>
        <w:spacing w:lineRule="auto" w:line="360"/>
        <w:rPr>
          <w:sz w:val="24"/>
        </w:rPr>
      </w:pPr>
      <w:r>
        <w:rPr>
          <w:sz w:val="24"/>
        </w:rPr>
      </w:r>
    </w:p>
    <w:p>
      <w:pPr>
        <w:pStyle w:val="Normal"/>
        <w:widowControl/>
        <w:spacing w:lineRule="auto" w:line="360"/>
        <w:rPr/>
      </w:pPr>
      <w:r>
        <w:rPr>
          <w:sz w:val="24"/>
        </w:rPr>
        <w:t>Travel &amp; Expenses</w:t>
        <w:tab/>
        <w:tab/>
        <w:tab/>
        <w:tab/>
        <w:tab/>
        <w:tab/>
        <w:tab/>
      </w:r>
      <w:r>
        <w:rPr>
          <w:sz w:val="24"/>
          <w:u w:val="single"/>
        </w:rPr>
        <w:t xml:space="preserve">  100K</w:t>
      </w:r>
    </w:p>
    <w:p>
      <w:pPr>
        <w:pStyle w:val="Normal"/>
        <w:widowControl/>
        <w:spacing w:lineRule="auto" w:line="360"/>
        <w:rPr>
          <w:sz w:val="24"/>
        </w:rPr>
      </w:pPr>
      <w:r>
        <w:rPr>
          <w:sz w:val="24"/>
        </w:rPr>
        <w:tab/>
        <w:tab/>
        <w:tab/>
        <w:tab/>
        <w:tab/>
        <w:tab/>
        <w:tab/>
        <w:tab/>
        <w:tab/>
        <w:t xml:space="preserve">$1.1m </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14605" cy="20955"/>
              <wp:effectExtent l="0" t="0" r="0" b="0"/>
              <wp:wrapTopAndBottom/>
              <wp:docPr id="1" name="Frame1"/>
              <a:graphic xmlns:a="http://schemas.openxmlformats.org/drawingml/2006/main">
                <a:graphicData uri="http://schemas.microsoft.com/office/word/2010/wordprocessingShape">
                  <wps:wsp>
                    <wps:cNvSpPr txBox="1"/>
                    <wps:spPr>
                      <a:xfrm>
                        <a:off x="0" y="0"/>
                        <a:ext cx="14605" cy="20955"/>
                      </a:xfrm>
                      <a:prstGeom prst="rect"/>
                      <a:solidFill>
                        <a:srgbClr val="FFFFFF">
                          <a:alpha val="0"/>
                        </a:srgbClr>
                      </a:solidFill>
                    </wps:spPr>
                    <wps:txbx>
                      <w:txbxContent>
                        <w:p>
                          <w:pPr>
                            <w:pStyle w:val="Normal"/>
                            <w:widowControl/>
                            <w:rPr>
                              <w:sz w:val="24"/>
                            </w:rPr>
                          </w:pPr>
                          <w:r>
                            <w:rPr>
                              <w:sz w:val="2"/>
                            </w:rPr>
                            <w:fldChar w:fldCharType="begin"/>
                          </w:r>
                          <w:r>
                            <w:rPr>
                              <w:sz w:val="2"/>
                            </w:rPr>
                            <w:instrText xml:space="preserve"> PAGE </w:instrText>
                          </w:r>
                          <w:r>
                            <w:rPr>
                              <w:sz w:val="2"/>
                            </w:rPr>
                            <w:fldChar w:fldCharType="separate"/>
                          </w:r>
                          <w:r>
                            <w:rPr>
                              <w:sz w:val="2"/>
                            </w:rPr>
                            <w:t>9</w:t>
                          </w:r>
                          <w:r>
                            <w:rPr>
                              <w:sz w:val="2"/>
                            </w:rPr>
                            <w:fldChar w:fldCharType="end"/>
                          </w:r>
                        </w:p>
                      </w:txbxContent>
                    </wps:txbx>
                    <wps:bodyPr anchor="t" lIns="0" tIns="0" rIns="0" bIns="0">
                      <a:noAutofit/>
                    </wps:bodyPr>
                  </wps:wsp>
                </a:graphicData>
              </a:graphic>
            </wp:anchor>
          </w:drawing>
        </mc:Choice>
        <mc:Fallback>
          <w:pict>
            <v:rect fillcolor="#FFFFFF" style="position:absolute;rotation:-0;width:1.15pt;height:1.65pt;mso-wrap-distance-left:0pt;mso-wrap-distance-right:0pt;mso-wrap-distance-top:0pt;mso-wrap-distance-bottom:0pt;margin-top:0pt;mso-position-vertical-relative:text;margin-left:233.45pt;mso-position-horizontal:center;mso-position-horizontal-relative:text">
              <v:fill opacity="0f"/>
              <v:textbox inset="0in,0in,0in,0in">
                <w:txbxContent>
                  <w:p>
                    <w:pPr>
                      <w:pStyle w:val="Normal"/>
                      <w:widowControl/>
                      <w:rPr>
                        <w:sz w:val="24"/>
                      </w:rPr>
                    </w:pPr>
                    <w:r>
                      <w:rPr>
                        <w:sz w:val="2"/>
                      </w:rPr>
                      <w:fldChar w:fldCharType="begin"/>
                    </w:r>
                    <w:r>
                      <w:rPr>
                        <w:sz w:val="2"/>
                      </w:rPr>
                      <w:instrText xml:space="preserve"> PAGE </w:instrText>
                    </w:r>
                    <w:r>
                      <w:rPr>
                        <w:sz w:val="2"/>
                      </w:rPr>
                      <w:fldChar w:fldCharType="separate"/>
                    </w:r>
                    <w:r>
                      <w:rPr>
                        <w:sz w:val="2"/>
                      </w:rPr>
                      <w:t>9</w:t>
                    </w:r>
                    <w:r>
                      <w:rPr>
                        <w:sz w:val="2"/>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spacing w:lineRule="auto" w:line="360"/>
      <w:jc w:val="center"/>
      <w:outlineLvl w:val="0"/>
    </w:pPr>
    <w:rPr>
      <w:b/>
      <w:i/>
      <w:sz w:val="24"/>
      <w:u w:val="single"/>
    </w:rPr>
  </w:style>
  <w:style w:type="paragraph" w:styleId="Heading2">
    <w:name w:val="heading 2"/>
    <w:basedOn w:val="Normal"/>
    <w:next w:val="Normal"/>
    <w:qFormat/>
    <w:pPr>
      <w:keepNext w:val="true"/>
      <w:widowControl/>
      <w:numPr>
        <w:ilvl w:val="1"/>
        <w:numId w:val="1"/>
      </w:numPr>
      <w:spacing w:lineRule="auto" w:line="360"/>
      <w:outlineLvl w:val="1"/>
    </w:pPr>
    <w:rPr>
      <w:i/>
      <w:sz w:val="24"/>
    </w:rPr>
  </w:style>
  <w:style w:type="character" w:styleId="DefaultParagraphFont">
    <w:name w:val="Default Paragraph Font"/>
    <w:qForma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2001-03-15T17:57:00Z</dcterms:created>
  <dc:creator>crd</dc:creator>
  <dc:description/>
  <dc:language>en-CA</dc:language>
  <cp:lastModifiedBy>nhunt</cp:lastModifiedBy>
  <cp:lastPrinted>2000-12-05T17:36:00Z</cp:lastPrinted>
  <dcterms:modified xsi:type="dcterms:W3CDTF">2001-03-15T17:57:00Z</dcterms:modified>
  <cp:revision>2</cp:revision>
  <dc:subject/>
  <dc:title>PROPOSAL: LECG INDUSTRY COLLABORATIVE ELECTRICITY MARKET STUDY</dc:title>
</cp:coreProperties>
</file>