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288"/>
          <w:tab w:val="right" w:pos="10260" w:leader="none"/>
        </w:tabs>
        <w:jc w:val="center"/>
        <w:rPr>
          <w:b/>
          <w:iCs/>
          <w:sz w:val="24"/>
          <w:lang w:val="en-CA" w:eastAsia="en-CA"/>
        </w:rPr>
      </w:pPr>
      <w:r>
        <w:rPr>
          <w:b/>
          <w:iCs/>
          <w:sz w:val="24"/>
          <w:lang w:val="en-CA" w:eastAsia="en-CA"/>
        </w:rPr>
        <w:t>RICHARD D. SAETTONE</w:t>
      </w:r>
    </w:p>
    <w:p>
      <w:pPr>
        <w:pStyle w:val="Heading6"/>
        <w:ind w:hanging="0" w:start="0"/>
        <w:rPr>
          <w:bCs/>
        </w:rPr>
      </w:pPr>
      <w:r>
        <w:rPr>
          <w:bCs/>
        </w:rPr>
        <w:t>10600 Six Pines Drive, # 1325</w:t>
      </w:r>
    </w:p>
    <w:p>
      <w:pPr>
        <w:pStyle w:val="Normal"/>
        <w:tabs>
          <w:tab w:val="clear" w:pos="288"/>
          <w:tab w:val="right" w:pos="10260" w:leader="none"/>
        </w:tabs>
        <w:jc w:val="center"/>
        <w:rPr>
          <w:b/>
          <w:bCs/>
          <w:iCs/>
          <w:sz w:val="24"/>
          <w:lang w:val="en-CA" w:eastAsia="en-CA"/>
        </w:rPr>
      </w:pPr>
      <w:r>
        <w:rPr>
          <w:b/>
          <w:bCs/>
          <w:iCs/>
          <w:sz w:val="24"/>
          <w:lang w:val="en-CA" w:eastAsia="en-CA"/>
        </w:rPr>
        <w:t>The Woodlands, Texas 77380</w:t>
      </w:r>
    </w:p>
    <w:p>
      <w:pPr>
        <w:pStyle w:val="Normal"/>
        <w:tabs>
          <w:tab w:val="clear" w:pos="288"/>
          <w:tab w:val="right" w:pos="10260" w:leader="none"/>
        </w:tabs>
        <w:jc w:val="center"/>
        <w:rPr>
          <w:b/>
          <w:bCs/>
          <w:iCs/>
          <w:sz w:val="24"/>
          <w:lang w:val="en-CA" w:eastAsia="en-CA"/>
        </w:rPr>
      </w:pPr>
      <w:r>
        <w:rPr>
          <w:b/>
          <w:bCs/>
          <w:iCs/>
          <w:sz w:val="24"/>
          <w:lang w:val="en-CA" w:eastAsia="en-CA"/>
        </w:rPr>
        <w:t>(713)444-0608</w:t>
      </w:r>
    </w:p>
    <w:p>
      <w:pPr>
        <w:pStyle w:val="Normal"/>
        <w:tabs>
          <w:tab w:val="clear" w:pos="288"/>
          <w:tab w:val="right" w:pos="10530" w:leader="none"/>
        </w:tabs>
        <w:jc w:val="center"/>
        <w:rPr>
          <w:b/>
          <w:iCs/>
          <w:sz w:val="24"/>
          <w:lang w:val="en-CA" w:eastAsia="en-CA"/>
        </w:rPr>
      </w:pPr>
      <w:r>
        <w:rPr>
          <w:b/>
          <w:bCs/>
          <w:iCs/>
          <w:sz w:val="24"/>
          <w:lang w:val="en-CA" w:eastAsia="en-CA"/>
        </w:rPr>
        <w:t>R_SAETTONE@email.msn.com</w:t>
      </w:r>
    </w:p>
    <w:p>
      <w:pPr>
        <w:pStyle w:val="Normal"/>
        <w:tabs>
          <w:tab w:val="clear" w:pos="288"/>
          <w:tab w:val="right" w:pos="10260" w:leader="none"/>
        </w:tabs>
        <w:jc w:val="both"/>
        <w:rPr>
          <w:b/>
          <w:bCs/>
          <w:sz w:val="22"/>
        </w:rPr>
      </w:pPr>
      <w:r>
        <w:rPr>
          <w:b/>
          <w:bCs/>
          <w:sz w:val="22"/>
        </w:rPr>
        <w:t>_____________________________________________________________________________________</w:t>
      </w:r>
    </w:p>
    <w:p>
      <w:pPr>
        <w:pStyle w:val="Normal"/>
        <w:jc w:val="both"/>
        <w:rPr>
          <w:b/>
          <w:bCs/>
          <w:sz w:val="21"/>
        </w:rPr>
      </w:pPr>
      <w:r>
        <w:rPr>
          <w:b/>
          <w:bCs/>
          <w:sz w:val="21"/>
        </w:rPr>
      </w:r>
    </w:p>
    <w:p>
      <w:pPr>
        <w:pStyle w:val="Heading3"/>
        <w:tabs>
          <w:tab w:val="clear" w:pos="10170"/>
        </w:tabs>
        <w:ind w:hanging="0" w:start="0"/>
        <w:rPr>
          <w:sz w:val="24"/>
        </w:rPr>
      </w:pPr>
      <w:r>
        <w:rPr>
          <w:sz w:val="24"/>
        </w:rPr>
        <w:t>EXPERIENCE</w:t>
      </w:r>
    </w:p>
    <w:p>
      <w:pPr>
        <w:pStyle w:val="Normal"/>
        <w:jc w:val="both"/>
        <w:rPr/>
      </w:pPr>
      <w:r>
        <w:rPr>
          <w:b/>
          <w:sz w:val="21"/>
        </w:rPr>
        <w:t>2001 to</w:t>
        <w:tab/>
        <w:tab/>
      </w:r>
      <w:r>
        <w:rPr>
          <w:b/>
          <w:sz w:val="24"/>
        </w:rPr>
        <w:t>BMC Software, Inc.</w:t>
        <w:tab/>
        <w:tab/>
        <w:tab/>
        <w:tab/>
        <w:tab/>
        <w:tab/>
        <w:tab/>
        <w:tab/>
        <w:tab/>
        <w:tab/>
        <w:tab/>
        <w:tab/>
        <w:tab/>
        <w:tab/>
        <w:tab/>
        <w:tab/>
        <w:tab/>
        <w:tab/>
        <w:t>Houston, Texas</w:t>
      </w:r>
    </w:p>
    <w:p>
      <w:pPr>
        <w:pStyle w:val="Normal"/>
        <w:jc w:val="both"/>
        <w:rPr/>
      </w:pPr>
      <w:r>
        <w:rPr>
          <w:b/>
          <w:sz w:val="21"/>
        </w:rPr>
        <w:t>Present</w:t>
        <w:tab/>
        <w:tab/>
      </w:r>
      <w:r>
        <w:rPr>
          <w:b/>
          <w:sz w:val="22"/>
          <w:szCs w:val="22"/>
        </w:rPr>
        <w:t>Vice President, Corporate Strategy, Mergers and Acquisitions, and Venture Investments</w:t>
      </w:r>
    </w:p>
    <w:p>
      <w:pPr>
        <w:pStyle w:val="Normal"/>
        <w:ind w:start="1152" w:end="0"/>
        <w:jc w:val="both"/>
        <w:rPr>
          <w:bCs/>
          <w:sz w:val="21"/>
          <w:szCs w:val="21"/>
        </w:rPr>
      </w:pPr>
      <w:r>
        <w:rPr>
          <w:bCs/>
          <w:sz w:val="21"/>
          <w:szCs w:val="21"/>
        </w:rPr>
        <w:t>Led corporate strategy, mergers and acquisitions and venture investment activities for NYSE-listed software company ($5 billion market capitalization).  Developed channel strategy to optimize market reach of BMC’s product portfolio.  Identified and launched initiatives to realize over $100 million in annual cost savings.   Developed a 3-year, multi-billion dollar M&amp;A strategy to position BMC as a leading player in the fastest growing segments of the software management industry.  Refocused BMC’s minority investment strategy to extract immediate value from existing investments and implemented a rigorous M&amp;A integration process to improve investment returns.</w:t>
      </w:r>
    </w:p>
    <w:p>
      <w:pPr>
        <w:pStyle w:val="Normal"/>
        <w:jc w:val="both"/>
        <w:rPr>
          <w:bCs/>
          <w:sz w:val="21"/>
          <w:szCs w:val="21"/>
        </w:rPr>
      </w:pPr>
      <w:r>
        <w:rPr>
          <w:bCs/>
          <w:sz w:val="21"/>
          <w:szCs w:val="21"/>
        </w:rPr>
      </w:r>
    </w:p>
    <w:p>
      <w:pPr>
        <w:pStyle w:val="Normal"/>
        <w:jc w:val="both"/>
        <w:rPr/>
      </w:pPr>
      <w:r>
        <w:rPr>
          <w:b/>
          <w:sz w:val="21"/>
        </w:rPr>
        <w:t>1997 to</w:t>
        <w:tab/>
        <w:tab/>
      </w:r>
      <w:r>
        <w:rPr>
          <w:b/>
          <w:sz w:val="24"/>
        </w:rPr>
        <w:t>Marrick &amp; Co. (Grupo Lucioni)</w:t>
        <w:tab/>
        <w:tab/>
        <w:tab/>
        <w:tab/>
        <w:tab/>
        <w:tab/>
        <w:tab/>
        <w:tab/>
        <w:tab/>
        <w:tab/>
        <w:tab/>
        <w:t>Lima / Miami / Caracas</w:t>
      </w:r>
    </w:p>
    <w:p>
      <w:pPr>
        <w:pStyle w:val="Heading7"/>
        <w:numPr>
          <w:ilvl w:val="0"/>
          <w:numId w:val="2"/>
        </w:numPr>
        <w:ind w:hanging="0" w:start="0"/>
        <w:rPr>
          <w:sz w:val="22"/>
          <w:szCs w:val="22"/>
        </w:rPr>
      </w:pPr>
      <w:r>
        <w:rPr>
          <w:sz w:val="22"/>
          <w:szCs w:val="22"/>
        </w:rPr>
        <w:t>Managing Director, Private Equity</w:t>
      </w:r>
    </w:p>
    <w:p>
      <w:pPr>
        <w:pStyle w:val="Normal"/>
        <w:ind w:start="1152" w:end="0"/>
        <w:jc w:val="both"/>
        <w:rPr>
          <w:sz w:val="21"/>
          <w:szCs w:val="21"/>
        </w:rPr>
      </w:pPr>
      <w:r>
        <w:rPr>
          <w:sz w:val="21"/>
          <w:szCs w:val="21"/>
        </w:rPr>
        <w:t>Led the acquisition efforts and established strategic direction for portfolio companies as a Member of the Steering Committee of this private equity investment firm.  Defined major value improvement initiatives, approved capital deployment and monitored overall performance for each company in the firm’s portfolio.</w:t>
      </w:r>
    </w:p>
    <w:p>
      <w:pPr>
        <w:pStyle w:val="Normal"/>
        <w:numPr>
          <w:ilvl w:val="2"/>
          <w:numId w:val="3"/>
        </w:numPr>
        <w:jc w:val="both"/>
        <w:rPr>
          <w:sz w:val="21"/>
          <w:szCs w:val="21"/>
        </w:rPr>
      </w:pPr>
      <w:r>
        <w:rPr>
          <w:sz w:val="21"/>
          <w:szCs w:val="21"/>
        </w:rPr>
        <w:t xml:space="preserve">Acquired 80% of Peru’s fourteenth largest bank in a leveraged buyout.  Catapulted the bank from last in asset quality to the top quartile in the Peruvian banking system within 12 months.  Spearheaded equity, foreign currency and commodities futures trading activities, creating the second largest trading house in the financial system. </w:t>
      </w:r>
    </w:p>
    <w:p>
      <w:pPr>
        <w:pStyle w:val="Normal"/>
        <w:numPr>
          <w:ilvl w:val="2"/>
          <w:numId w:val="3"/>
        </w:numPr>
        <w:jc w:val="both"/>
        <w:rPr>
          <w:sz w:val="21"/>
          <w:szCs w:val="21"/>
        </w:rPr>
      </w:pPr>
      <w:r>
        <w:rPr>
          <w:sz w:val="21"/>
          <w:szCs w:val="21"/>
        </w:rPr>
        <w:t>Merged two Peruvian commercial banks creating the seventh largest bank in the system and realized synergies that led to doubling the profits of the combined entities.</w:t>
      </w:r>
    </w:p>
    <w:p>
      <w:pPr>
        <w:pStyle w:val="Normal"/>
        <w:numPr>
          <w:ilvl w:val="2"/>
          <w:numId w:val="3"/>
        </w:numPr>
        <w:jc w:val="both"/>
        <w:rPr>
          <w:sz w:val="21"/>
          <w:szCs w:val="21"/>
        </w:rPr>
      </w:pPr>
      <w:r>
        <w:rPr>
          <w:sz w:val="21"/>
          <w:szCs w:val="21"/>
        </w:rPr>
        <w:t xml:space="preserve">Increased factory output fivefold and grew net income eightfold in the 2 ½ years following acquisition of U.S.-based, high-end furniture wholesaler with manufacturing facilities in Peru and Argentina. </w:t>
      </w:r>
    </w:p>
    <w:p>
      <w:pPr>
        <w:pStyle w:val="Normal"/>
        <w:tabs>
          <w:tab w:val="clear" w:pos="288"/>
          <w:tab w:val="right" w:pos="10170" w:leader="none"/>
        </w:tabs>
        <w:spacing w:lineRule="exact" w:line="40"/>
        <w:ind w:start="270" w:end="0"/>
        <w:jc w:val="both"/>
        <w:rPr>
          <w:sz w:val="21"/>
          <w:szCs w:val="21"/>
        </w:rPr>
      </w:pPr>
      <w:r>
        <w:rPr>
          <w:sz w:val="21"/>
          <w:szCs w:val="21"/>
        </w:rPr>
      </w:r>
    </w:p>
    <w:p>
      <w:pPr>
        <w:pStyle w:val="Normal"/>
        <w:numPr>
          <w:ilvl w:val="2"/>
          <w:numId w:val="3"/>
        </w:numPr>
        <w:jc w:val="both"/>
        <w:rPr>
          <w:i/>
          <w:i/>
          <w:sz w:val="21"/>
          <w:szCs w:val="21"/>
        </w:rPr>
      </w:pPr>
      <w:r>
        <w:rPr>
          <w:i/>
          <w:sz w:val="21"/>
          <w:szCs w:val="21"/>
        </w:rPr>
        <w:t>Retained by the Chairman of the Board of Houston-based SuperStand Entertainment (not a part of Marrick’s portfolio of companies) to redefine this pre-IPO magazine retailer’s brick-and-mortar growth strategy and refocus its 500-store national expansion plan around a large store concept.</w:t>
      </w:r>
    </w:p>
    <w:p>
      <w:pPr>
        <w:pStyle w:val="Normal"/>
        <w:jc w:val="both"/>
        <w:rPr>
          <w:i/>
          <w:i/>
          <w:sz w:val="22"/>
          <w:szCs w:val="22"/>
        </w:rPr>
      </w:pPr>
      <w:r>
        <w:rPr>
          <w:i/>
          <w:sz w:val="22"/>
          <w:szCs w:val="22"/>
        </w:rPr>
      </w:r>
    </w:p>
    <w:p>
      <w:pPr>
        <w:pStyle w:val="Normal"/>
        <w:jc w:val="both"/>
        <w:rPr/>
      </w:pPr>
      <w:r>
        <w:rPr>
          <w:b/>
          <w:sz w:val="21"/>
        </w:rPr>
        <w:t>1995 to</w:t>
        <w:tab/>
        <w:tab/>
      </w:r>
      <w:r>
        <w:rPr>
          <w:b/>
          <w:sz w:val="24"/>
        </w:rPr>
        <w:t>Carsa Holding, Inc. (Grupo Lucioni)</w:t>
        <w:tab/>
        <w:tab/>
        <w:tab/>
        <w:tab/>
        <w:tab/>
        <w:tab/>
        <w:tab/>
        <w:tab/>
        <w:tab/>
        <w:tab/>
        <w:tab/>
        <w:tab/>
        <w:tab/>
        <w:tab/>
        <w:t>Lima, Peru</w:t>
      </w:r>
    </w:p>
    <w:p>
      <w:pPr>
        <w:pStyle w:val="Heading7"/>
        <w:numPr>
          <w:ilvl w:val="0"/>
          <w:numId w:val="0"/>
        </w:numPr>
        <w:ind w:hanging="1155" w:start="1155" w:end="0"/>
        <w:rPr>
          <w:sz w:val="22"/>
          <w:szCs w:val="22"/>
        </w:rPr>
      </w:pPr>
      <w:r>
        <w:rPr/>
        <w:t>1997</w:t>
        <w:tab/>
      </w:r>
      <w:r>
        <w:rPr>
          <w:sz w:val="21"/>
          <w:szCs w:val="21"/>
        </w:rPr>
        <w:t>Vice President, Corporate Strategy and Business Development</w:t>
      </w:r>
    </w:p>
    <w:p>
      <w:pPr>
        <w:pStyle w:val="Heading7"/>
        <w:numPr>
          <w:ilvl w:val="0"/>
          <w:numId w:val="0"/>
        </w:numPr>
        <w:ind w:hanging="0" w:start="1152" w:end="0"/>
        <w:rPr>
          <w:b w:val="false"/>
          <w:bCs w:val="false"/>
          <w:sz w:val="21"/>
          <w:szCs w:val="21"/>
        </w:rPr>
      </w:pPr>
      <w:r>
        <w:rPr>
          <w:b w:val="false"/>
          <w:bCs w:val="false"/>
          <w:sz w:val="21"/>
          <w:szCs w:val="21"/>
        </w:rPr>
        <w:t>As a member of the Management Committee, was a key player in turning this multi-business-unit company into the largest consumer credit and durable goods retailer in Andean Region.  Led teams in identifying performance improvement opportunities and implementing value-enhancing initiatives across all divisions.  Introduced a rigorous performance measurement system, trained entire 3,000-member workforce in value-based management and implemented a value-driven compensation system. Challenged organization to unlock hidden value by increasing cost and asset efficiency.  Strategies enabled Grupo Carsa to grow revenues from less than $300 million to more than $500 million in 2 years and achieve undisputed market leadership in the Andean Region.</w:t>
      </w:r>
      <w:r>
        <w:br w:type="page"/>
      </w:r>
    </w:p>
    <w:p>
      <w:pPr>
        <w:pStyle w:val="Normal"/>
        <w:jc w:val="both"/>
        <w:rPr>
          <w:b w:val="false"/>
          <w:bCs w:val="false"/>
          <w:i/>
          <w:i/>
          <w:sz w:val="21"/>
          <w:szCs w:val="21"/>
        </w:rPr>
      </w:pPr>
      <w:r>
        <w:rPr>
          <w:b w:val="false"/>
          <w:bCs w:val="false"/>
          <w:i/>
          <w:sz w:val="21"/>
          <w:szCs w:val="21"/>
        </w:rPr>
      </w:r>
    </w:p>
    <w:p>
      <w:pPr>
        <w:pStyle w:val="Normal"/>
        <w:jc w:val="both"/>
        <w:rPr/>
      </w:pPr>
      <w:r>
        <w:rPr>
          <w:b/>
          <w:sz w:val="21"/>
        </w:rPr>
        <w:t>1994 to</w:t>
        <w:tab/>
        <w:tab/>
      </w:r>
      <w:r>
        <w:rPr>
          <w:b/>
          <w:sz w:val="24"/>
        </w:rPr>
        <w:t>Goldman, Sachs &amp; Co.</w:t>
        <w:tab/>
        <w:tab/>
        <w:tab/>
        <w:tab/>
        <w:tab/>
        <w:tab/>
        <w:tab/>
        <w:tab/>
        <w:tab/>
        <w:tab/>
        <w:tab/>
        <w:tab/>
        <w:tab/>
        <w:tab/>
        <w:tab/>
        <w:t>New York, New York</w:t>
      </w:r>
    </w:p>
    <w:p>
      <w:pPr>
        <w:pStyle w:val="Heading7"/>
        <w:numPr>
          <w:ilvl w:val="0"/>
          <w:numId w:val="0"/>
        </w:numPr>
        <w:tabs>
          <w:tab w:val="clear" w:pos="288"/>
          <w:tab w:val="left" w:pos="6660" w:leader="none"/>
        </w:tabs>
        <w:ind w:hanging="1155" w:start="1155" w:end="0"/>
        <w:rPr/>
      </w:pPr>
      <w:r>
        <w:rPr/>
        <w:t>1995</w:t>
        <w:tab/>
      </w:r>
      <w:r>
        <w:rPr>
          <w:sz w:val="22"/>
          <w:szCs w:val="22"/>
        </w:rPr>
        <w:t>Senior Associate, Investment Banking</w:t>
      </w:r>
    </w:p>
    <w:p>
      <w:pPr>
        <w:pStyle w:val="Normal"/>
        <w:ind w:firstLine="3" w:start="1152" w:end="0"/>
        <w:rPr>
          <w:sz w:val="21"/>
          <w:szCs w:val="21"/>
        </w:rPr>
      </w:pPr>
      <w:r>
        <w:rPr>
          <w:sz w:val="21"/>
          <w:szCs w:val="21"/>
        </w:rPr>
        <w:t>Executed equity and debt transactions, and strategic advisory assignments for industrial conglomerates in the United States and Latin America.  Key achievements included:</w:t>
      </w:r>
    </w:p>
    <w:p>
      <w:pPr>
        <w:pStyle w:val="Normal"/>
        <w:numPr>
          <w:ilvl w:val="0"/>
          <w:numId w:val="5"/>
        </w:numPr>
        <w:rPr>
          <w:sz w:val="21"/>
          <w:szCs w:val="21"/>
        </w:rPr>
      </w:pPr>
      <w:r>
        <w:rPr>
          <w:sz w:val="21"/>
          <w:szCs w:val="21"/>
        </w:rPr>
        <w:t>Co-managed a $70 million equity offering for Lakehead Pipeline, a NYSE limited partnership.</w:t>
      </w:r>
    </w:p>
    <w:p>
      <w:pPr>
        <w:pStyle w:val="Normal"/>
        <w:numPr>
          <w:ilvl w:val="0"/>
          <w:numId w:val="5"/>
        </w:numPr>
        <w:rPr>
          <w:sz w:val="21"/>
          <w:szCs w:val="21"/>
        </w:rPr>
      </w:pPr>
      <w:r>
        <w:rPr>
          <w:sz w:val="21"/>
          <w:szCs w:val="21"/>
        </w:rPr>
        <w:t>Managed a $200 million bond offering process for Mexico’s $25 billion state oil company.</w:t>
      </w:r>
    </w:p>
    <w:p>
      <w:pPr>
        <w:pStyle w:val="Normal"/>
        <w:numPr>
          <w:ilvl w:val="0"/>
          <w:numId w:val="5"/>
        </w:numPr>
        <w:rPr>
          <w:sz w:val="21"/>
          <w:szCs w:val="21"/>
        </w:rPr>
      </w:pPr>
      <w:r>
        <w:rPr>
          <w:sz w:val="21"/>
          <w:szCs w:val="21"/>
        </w:rPr>
        <w:t>Assisted in the SEC registration of MetroGas, a South American gas distribution company.</w:t>
      </w:r>
    </w:p>
    <w:p>
      <w:pPr>
        <w:pStyle w:val="Normal"/>
        <w:numPr>
          <w:ilvl w:val="0"/>
          <w:numId w:val="5"/>
        </w:numPr>
        <w:rPr>
          <w:sz w:val="21"/>
          <w:szCs w:val="21"/>
        </w:rPr>
      </w:pPr>
      <w:r>
        <w:rPr>
          <w:sz w:val="21"/>
          <w:szCs w:val="21"/>
        </w:rPr>
        <w:t>Developed a business portfolio restructuring blueprint to bolster a major Latin American conglomerate’s capital structure and refocus its efforts on higher growth opportunities.</w:t>
      </w:r>
    </w:p>
    <w:p>
      <w:pPr>
        <w:pStyle w:val="Normal"/>
        <w:tabs>
          <w:tab w:val="clear" w:pos="288"/>
          <w:tab w:val="right" w:pos="10170" w:leader="none"/>
        </w:tabs>
        <w:spacing w:lineRule="exact" w:line="40"/>
        <w:ind w:start="360" w:end="0"/>
        <w:jc w:val="both"/>
        <w:rPr>
          <w:sz w:val="21"/>
          <w:szCs w:val="21"/>
        </w:rPr>
      </w:pPr>
      <w:r>
        <w:rPr>
          <w:sz w:val="21"/>
          <w:szCs w:val="21"/>
        </w:rPr>
      </w:r>
    </w:p>
    <w:p>
      <w:pPr>
        <w:pStyle w:val="BodyTextIndent"/>
        <w:ind w:start="0" w:end="0"/>
        <w:rPr/>
      </w:pPr>
      <w:r>
        <w:rPr/>
        <w:tab/>
        <w:t xml:space="preserve"> </w:t>
      </w:r>
    </w:p>
    <w:p>
      <w:pPr>
        <w:pStyle w:val="Normal"/>
        <w:jc w:val="both"/>
        <w:rPr/>
      </w:pPr>
      <w:r>
        <w:rPr>
          <w:b/>
          <w:sz w:val="21"/>
        </w:rPr>
        <w:t>1993 to</w:t>
        <w:tab/>
        <w:tab/>
      </w:r>
      <w:r>
        <w:rPr>
          <w:b/>
          <w:sz w:val="24"/>
        </w:rPr>
        <w:t>PepsiCo, Inc.</w:t>
        <w:tab/>
        <w:tab/>
        <w:tab/>
        <w:tab/>
        <w:tab/>
        <w:tab/>
        <w:tab/>
        <w:tab/>
        <w:tab/>
        <w:tab/>
        <w:tab/>
        <w:tab/>
        <w:tab/>
        <w:tab/>
        <w:tab/>
        <w:tab/>
        <w:tab/>
        <w:tab/>
        <w:tab/>
        <w:tab/>
        <w:t>Purchase, New York</w:t>
      </w:r>
    </w:p>
    <w:p>
      <w:pPr>
        <w:pStyle w:val="Heading8"/>
        <w:ind w:hanging="0" w:start="0"/>
        <w:rPr/>
      </w:pPr>
      <w:r>
        <w:rPr/>
        <w:t>1994</w:t>
        <w:tab/>
        <w:tab/>
        <w:tab/>
      </w:r>
      <w:r>
        <w:rPr>
          <w:sz w:val="22"/>
          <w:szCs w:val="22"/>
        </w:rPr>
        <w:t>Corporate Strategic Planning Manager, International</w:t>
      </w:r>
    </w:p>
    <w:p>
      <w:pPr>
        <w:pStyle w:val="Normal"/>
        <w:ind w:firstLine="3" w:start="1152" w:end="0"/>
        <w:rPr>
          <w:sz w:val="21"/>
          <w:szCs w:val="21"/>
        </w:rPr>
      </w:pPr>
      <w:r>
        <w:rPr>
          <w:sz w:val="21"/>
          <w:szCs w:val="21"/>
        </w:rPr>
        <w:t>Developed strategic framework for identifying international expansion opportunities in PepsiCo’s beverage, snack food and restaurant businesses.  Conducted strategic and financial review of the company’s international snack food operations.  Managed worldwide snack food capital investment and acquisition analysis.</w:t>
      </w:r>
    </w:p>
    <w:p>
      <w:pPr>
        <w:pStyle w:val="Normal"/>
        <w:ind w:firstLine="3" w:start="1152" w:end="0"/>
        <w:rPr>
          <w:sz w:val="21"/>
          <w:szCs w:val="21"/>
        </w:rPr>
      </w:pPr>
      <w:r>
        <w:rPr>
          <w:sz w:val="21"/>
          <w:szCs w:val="21"/>
        </w:rPr>
      </w:r>
    </w:p>
    <w:p>
      <w:pPr>
        <w:pStyle w:val="Normal"/>
        <w:jc w:val="both"/>
        <w:rPr/>
      </w:pPr>
      <w:r>
        <w:rPr>
          <w:b/>
          <w:sz w:val="21"/>
        </w:rPr>
        <w:t>1989 to</w:t>
        <w:tab/>
        <w:tab/>
      </w:r>
      <w:r>
        <w:rPr>
          <w:b/>
          <w:sz w:val="24"/>
        </w:rPr>
        <w:t>McKinsey &amp; Company, Inc.</w:t>
        <w:tab/>
        <w:tab/>
        <w:tab/>
        <w:tab/>
        <w:tab/>
        <w:tab/>
        <w:tab/>
        <w:tab/>
        <w:tab/>
        <w:tab/>
        <w:tab/>
        <w:tab/>
        <w:tab/>
        <w:tab/>
        <w:tab/>
        <w:tab/>
        <w:t>Houston, Texas</w:t>
      </w:r>
    </w:p>
    <w:p>
      <w:pPr>
        <w:pStyle w:val="Heading8"/>
        <w:ind w:hanging="0" w:start="0"/>
        <w:rPr/>
      </w:pPr>
      <w:r>
        <w:rPr/>
        <w:t>1993</w:t>
        <w:tab/>
        <w:tab/>
        <w:tab/>
      </w:r>
      <w:r>
        <w:rPr>
          <w:sz w:val="22"/>
          <w:szCs w:val="22"/>
        </w:rPr>
        <w:t>Engagement Manager</w:t>
      </w:r>
    </w:p>
    <w:p>
      <w:pPr>
        <w:pStyle w:val="Heading8"/>
        <w:ind w:hanging="0" w:start="1152" w:end="0"/>
        <w:rPr>
          <w:b w:val="false"/>
          <w:bCs w:val="false"/>
          <w:sz w:val="21"/>
          <w:szCs w:val="21"/>
        </w:rPr>
      </w:pPr>
      <w:r>
        <w:rPr>
          <w:b w:val="false"/>
          <w:bCs w:val="false"/>
          <w:sz w:val="21"/>
          <w:szCs w:val="21"/>
        </w:rPr>
        <w:t xml:space="preserve">Led teams of consultants and client executives in addressing a wide range of strategic, operational and organizational issues for a client base that included major oil and gas, engineering and construction and chemicals companies in the United States and Mexico.  </w:t>
      </w:r>
    </w:p>
    <w:p>
      <w:pPr>
        <w:pStyle w:val="Normal"/>
        <w:tabs>
          <w:tab w:val="clear" w:pos="288"/>
          <w:tab w:val="right" w:pos="10170" w:leader="none"/>
        </w:tabs>
        <w:spacing w:lineRule="exact" w:line="40"/>
        <w:ind w:hanging="288" w:start="288" w:end="0"/>
        <w:jc w:val="both"/>
        <w:rPr>
          <w:b/>
          <w:bCs/>
          <w:sz w:val="21"/>
          <w:szCs w:val="21"/>
        </w:rPr>
      </w:pPr>
      <w:r>
        <w:rPr>
          <w:b/>
          <w:bCs/>
          <w:sz w:val="21"/>
          <w:szCs w:val="21"/>
        </w:rPr>
      </w:r>
    </w:p>
    <w:p>
      <w:pPr>
        <w:pStyle w:val="BodyTextIndent3"/>
        <w:numPr>
          <w:ilvl w:val="2"/>
          <w:numId w:val="4"/>
        </w:numPr>
        <w:rPr>
          <w:sz w:val="21"/>
          <w:szCs w:val="21"/>
        </w:rPr>
      </w:pPr>
      <w:r>
        <w:rPr>
          <w:sz w:val="21"/>
          <w:szCs w:val="21"/>
        </w:rPr>
        <w:t xml:space="preserve">Improved profitability of asphalt business of a Fortune 100 company more than 30% through reconfiguration of its downstream logistics and distribution system.  </w:t>
      </w:r>
    </w:p>
    <w:p>
      <w:pPr>
        <w:pStyle w:val="Normal"/>
        <w:tabs>
          <w:tab w:val="clear" w:pos="288"/>
          <w:tab w:val="right" w:pos="10170" w:leader="none"/>
        </w:tabs>
        <w:spacing w:lineRule="exact" w:line="40"/>
        <w:ind w:hanging="288" w:start="288" w:end="0"/>
        <w:jc w:val="both"/>
        <w:rPr>
          <w:sz w:val="21"/>
          <w:szCs w:val="21"/>
        </w:rPr>
      </w:pPr>
      <w:r>
        <w:rPr>
          <w:sz w:val="21"/>
          <w:szCs w:val="21"/>
        </w:rPr>
      </w:r>
    </w:p>
    <w:p>
      <w:pPr>
        <w:pStyle w:val="Normal"/>
        <w:numPr>
          <w:ilvl w:val="2"/>
          <w:numId w:val="4"/>
        </w:numPr>
        <w:tabs>
          <w:tab w:val="clear" w:pos="288"/>
          <w:tab w:val="right" w:pos="10170" w:leader="none"/>
        </w:tabs>
        <w:jc w:val="both"/>
        <w:rPr>
          <w:sz w:val="21"/>
          <w:szCs w:val="21"/>
        </w:rPr>
      </w:pPr>
      <w:r>
        <w:rPr>
          <w:sz w:val="21"/>
          <w:szCs w:val="21"/>
        </w:rPr>
        <w:t xml:space="preserve">Developed comprehensive turnaround strategy for leading engineering and construction company’s $500 million civil business unit.  </w:t>
      </w:r>
    </w:p>
    <w:p>
      <w:pPr>
        <w:pStyle w:val="Normal"/>
        <w:tabs>
          <w:tab w:val="clear" w:pos="288"/>
          <w:tab w:val="right" w:pos="10170" w:leader="none"/>
        </w:tabs>
        <w:spacing w:lineRule="exact" w:line="40"/>
        <w:ind w:hanging="288" w:start="288" w:end="0"/>
        <w:jc w:val="both"/>
        <w:rPr>
          <w:sz w:val="21"/>
          <w:szCs w:val="21"/>
        </w:rPr>
      </w:pPr>
      <w:r>
        <w:rPr>
          <w:sz w:val="21"/>
          <w:szCs w:val="21"/>
        </w:rPr>
      </w:r>
    </w:p>
    <w:p>
      <w:pPr>
        <w:pStyle w:val="Normal"/>
        <w:numPr>
          <w:ilvl w:val="2"/>
          <w:numId w:val="4"/>
        </w:numPr>
        <w:tabs>
          <w:tab w:val="clear" w:pos="288"/>
          <w:tab w:val="right" w:pos="10170" w:leader="none"/>
        </w:tabs>
        <w:jc w:val="both"/>
        <w:rPr>
          <w:sz w:val="21"/>
          <w:szCs w:val="21"/>
        </w:rPr>
      </w:pPr>
      <w:r>
        <w:rPr>
          <w:sz w:val="21"/>
          <w:szCs w:val="21"/>
        </w:rPr>
        <w:t>Added over $50 million to a US oilfield services company’s performance chemicals unit by eliminating low value products and clients and refocusing the organization on economically exceeding customers’ expectations.</w:t>
      </w:r>
    </w:p>
    <w:p>
      <w:pPr>
        <w:pStyle w:val="Normal"/>
        <w:numPr>
          <w:ilvl w:val="2"/>
          <w:numId w:val="4"/>
        </w:numPr>
        <w:tabs>
          <w:tab w:val="clear" w:pos="288"/>
          <w:tab w:val="right" w:pos="10170" w:leader="none"/>
        </w:tabs>
        <w:jc w:val="both"/>
        <w:rPr>
          <w:sz w:val="21"/>
          <w:szCs w:val="21"/>
        </w:rPr>
      </w:pPr>
      <w:r>
        <w:rPr>
          <w:sz w:val="21"/>
          <w:szCs w:val="21"/>
        </w:rPr>
        <w:t>Created strategy to raise a major Latin American oil company’s  upstream and downstream operating standards to world-class levels and put in place an economic value maximization process that resulted in significant improvements in asset performance, capital deployment and overall cost efficiency.</w:t>
      </w:r>
    </w:p>
    <w:p>
      <w:pPr>
        <w:pStyle w:val="Normal"/>
        <w:numPr>
          <w:ilvl w:val="2"/>
          <w:numId w:val="4"/>
        </w:numPr>
        <w:tabs>
          <w:tab w:val="clear" w:pos="288"/>
          <w:tab w:val="right" w:pos="10170" w:leader="none"/>
        </w:tabs>
        <w:jc w:val="both"/>
        <w:rPr>
          <w:sz w:val="21"/>
          <w:szCs w:val="21"/>
        </w:rPr>
      </w:pPr>
      <w:r>
        <w:rPr>
          <w:sz w:val="21"/>
          <w:szCs w:val="21"/>
        </w:rPr>
        <w:t>Led pivotal job design effort for the managers and front line employees of a state-owned oil company’s oil and gas trading subsidiary.</w:t>
      </w:r>
    </w:p>
    <w:p>
      <w:pPr>
        <w:pStyle w:val="Normal"/>
        <w:tabs>
          <w:tab w:val="clear" w:pos="288"/>
          <w:tab w:val="right" w:pos="10170" w:leader="none"/>
        </w:tabs>
        <w:jc w:val="both"/>
        <w:rPr>
          <w:sz w:val="21"/>
          <w:szCs w:val="21"/>
        </w:rPr>
      </w:pPr>
      <w:r>
        <w:rPr>
          <w:sz w:val="21"/>
          <w:szCs w:val="21"/>
        </w:rPr>
      </w:r>
    </w:p>
    <w:p>
      <w:pPr>
        <w:pStyle w:val="Normal"/>
        <w:tabs>
          <w:tab w:val="clear" w:pos="288"/>
          <w:tab w:val="right" w:pos="10170" w:leader="none"/>
        </w:tabs>
        <w:ind w:hanging="288" w:start="288" w:end="0"/>
        <w:jc w:val="both"/>
        <w:rPr/>
      </w:pPr>
      <w:r>
        <w:rPr>
          <w:b/>
          <w:sz w:val="22"/>
        </w:rPr>
        <w:tab/>
        <w:tab/>
      </w:r>
      <w:r>
        <w:rPr>
          <w:b/>
          <w:sz w:val="24"/>
        </w:rPr>
        <w:t>Early Career History</w:t>
      </w:r>
      <w:r>
        <w:rPr>
          <w:b/>
          <w:sz w:val="22"/>
        </w:rPr>
        <w:t>:</w:t>
      </w:r>
      <w:r>
        <w:rPr>
          <w:sz w:val="21"/>
        </w:rPr>
        <w:t xml:space="preserve"> </w:t>
      </w:r>
      <w:r>
        <w:rPr>
          <w:sz w:val="21"/>
          <w:szCs w:val="21"/>
        </w:rPr>
        <w:t xml:space="preserve">After completing undergraduate studies at Carnegie-Mellon in 1982, worked as a Senior Economics and Planning Engineer at Belco Petroleum Corporation and as a Consultant with C.R.C., both in Peru. </w:t>
      </w:r>
    </w:p>
    <w:p>
      <w:pPr>
        <w:pStyle w:val="Normal"/>
        <w:tabs>
          <w:tab w:val="clear" w:pos="288"/>
          <w:tab w:val="right" w:pos="10170" w:leader="none"/>
        </w:tabs>
        <w:ind w:hanging="288" w:start="288" w:end="0"/>
        <w:jc w:val="both"/>
        <w:rPr/>
      </w:pPr>
      <w:r>
        <w:rPr>
          <w:b/>
          <w:sz w:val="24"/>
        </w:rPr>
        <w:tab/>
        <w:tab/>
      </w:r>
      <w:r>
        <w:rPr>
          <w:sz w:val="21"/>
        </w:rPr>
        <w:t xml:space="preserve"> </w:t>
      </w:r>
    </w:p>
    <w:p>
      <w:pPr>
        <w:pStyle w:val="Heading9"/>
        <w:ind w:hanging="0" w:start="0"/>
        <w:rPr/>
      </w:pPr>
      <w:r>
        <w:rPr/>
        <w:t>EDUCATION</w:t>
      </w:r>
    </w:p>
    <w:p>
      <w:pPr>
        <w:pStyle w:val="Normal"/>
        <w:rPr>
          <w:sz w:val="21"/>
        </w:rPr>
      </w:pPr>
      <w:r>
        <w:rPr/>
        <w:tab/>
        <w:tab/>
        <w:tab/>
        <w:tab/>
      </w:r>
      <w:r>
        <w:rPr>
          <w:b/>
          <w:bCs/>
          <w:sz w:val="24"/>
        </w:rPr>
        <w:t>The University of Texas at Austin</w:t>
        <w:tab/>
        <w:tab/>
        <w:tab/>
        <w:tab/>
        <w:tab/>
        <w:tab/>
        <w:tab/>
        <w:tab/>
        <w:tab/>
        <w:tab/>
        <w:tab/>
        <w:tab/>
        <w:tab/>
        <w:tab/>
        <w:tab/>
        <w:t>Austin, Texas</w:t>
      </w:r>
    </w:p>
    <w:p>
      <w:pPr>
        <w:pStyle w:val="BodyText"/>
        <w:ind w:start="1152" w:end="0"/>
        <w:rPr>
          <w:szCs w:val="21"/>
        </w:rPr>
      </w:pPr>
      <w:r>
        <w:rPr>
          <w:szCs w:val="21"/>
        </w:rPr>
        <w:t>Completed MBA coursework in 1989 and thesis in 1991.  Designated a Sord Scholar and received the Dean’s Award for academic excellence.  Graduate teaching assistant for Probability and Statistics.</w:t>
      </w:r>
    </w:p>
    <w:p>
      <w:pPr>
        <w:pStyle w:val="BodyText"/>
        <w:ind w:start="1152" w:end="0"/>
        <w:rPr>
          <w:sz w:val="22"/>
          <w:szCs w:val="22"/>
        </w:rPr>
      </w:pPr>
      <w:r>
        <w:rPr>
          <w:sz w:val="22"/>
          <w:szCs w:val="22"/>
        </w:rPr>
      </w:r>
    </w:p>
    <w:p>
      <w:pPr>
        <w:pStyle w:val="BodyText"/>
        <w:ind w:start="1152" w:end="0"/>
        <w:rPr>
          <w:b/>
          <w:bCs/>
          <w:sz w:val="24"/>
        </w:rPr>
      </w:pPr>
      <w:r>
        <w:rPr>
          <w:b/>
          <w:bCs/>
          <w:sz w:val="24"/>
        </w:rPr>
        <w:t>Carnegie-Mellon University</w:t>
        <w:tab/>
        <w:tab/>
        <w:tab/>
        <w:tab/>
        <w:tab/>
        <w:tab/>
        <w:tab/>
        <w:tab/>
        <w:tab/>
        <w:tab/>
        <w:tab/>
        <w:tab/>
        <w:tab/>
        <w:t>Pittsburgh, Pennsylvania</w:t>
      </w:r>
    </w:p>
    <w:p>
      <w:pPr>
        <w:pStyle w:val="BodyText"/>
        <w:ind w:start="1152" w:end="0"/>
        <w:rPr>
          <w:szCs w:val="21"/>
        </w:rPr>
      </w:pPr>
      <w:r>
        <w:rPr>
          <w:szCs w:val="21"/>
        </w:rPr>
        <w:t>Bachelor of Science in Mechanical Engineering, 1982.  Teaching assistant in Calculus.</w:t>
      </w:r>
    </w:p>
    <w:p>
      <w:pPr>
        <w:pStyle w:val="BodyText"/>
        <w:rPr>
          <w:szCs w:val="21"/>
        </w:rPr>
      </w:pPr>
      <w:r>
        <w:rPr>
          <w:szCs w:val="21"/>
        </w:rPr>
      </w:r>
    </w:p>
    <w:p>
      <w:pPr>
        <w:pStyle w:val="BodyText"/>
        <w:rPr>
          <w:b/>
          <w:bCs/>
          <w:sz w:val="24"/>
        </w:rPr>
      </w:pPr>
      <w:r>
        <w:rPr>
          <w:b/>
          <w:bCs/>
          <w:sz w:val="24"/>
        </w:rPr>
        <w:t>OTHER</w:t>
      </w:r>
    </w:p>
    <w:p>
      <w:pPr>
        <w:pStyle w:val="Normal"/>
        <w:ind w:firstLine="3" w:start="1152" w:end="0"/>
        <w:jc w:val="both"/>
        <w:rPr/>
      </w:pPr>
      <w:r>
        <w:rPr>
          <w:sz w:val="21"/>
          <w:szCs w:val="21"/>
        </w:rPr>
        <w:t xml:space="preserve">Business school lecturer and keynote speaker on </w:t>
      </w:r>
      <w:r>
        <w:rPr>
          <w:i/>
          <w:sz w:val="21"/>
          <w:szCs w:val="21"/>
        </w:rPr>
        <w:t>Value Based Management</w:t>
      </w:r>
      <w:r>
        <w:rPr>
          <w:sz w:val="21"/>
          <w:szCs w:val="21"/>
        </w:rPr>
        <w:t xml:space="preserve"> and </w:t>
      </w:r>
      <w:r>
        <w:rPr>
          <w:i/>
          <w:sz w:val="21"/>
          <w:szCs w:val="21"/>
        </w:rPr>
        <w:t>Corporate Restructuring</w:t>
      </w:r>
      <w:r>
        <w:rPr>
          <w:sz w:val="21"/>
          <w:szCs w:val="21"/>
        </w:rPr>
        <w:t xml:space="preserve">.  Author of </w:t>
      </w:r>
      <w:r>
        <w:rPr>
          <w:i/>
          <w:sz w:val="21"/>
          <w:szCs w:val="21"/>
        </w:rPr>
        <w:t xml:space="preserve">The Value Architect </w:t>
      </w:r>
      <w:r>
        <w:rPr>
          <w:sz w:val="21"/>
          <w:szCs w:val="21"/>
        </w:rPr>
        <w:t xml:space="preserve"> (to be published in 2002).  Fluent in both Spanish and English.  </w:t>
      </w:r>
    </w:p>
    <w:p>
      <w:pPr>
        <w:pStyle w:val="BodyText"/>
        <w:rPr>
          <w:b/>
          <w:bCs/>
          <w:sz w:val="20"/>
          <w:szCs w:val="21"/>
        </w:rPr>
      </w:pPr>
      <w:r>
        <w:rPr>
          <w:b/>
          <w:bCs/>
          <w:sz w:val="20"/>
          <w:szCs w:val="21"/>
        </w:rPr>
      </w:r>
    </w:p>
    <w:sectPr>
      <w:type w:val="nextPage"/>
      <w:pgSz w:w="12240" w:h="15840"/>
      <w:pgMar w:left="1008" w:right="1008" w:gutter="0" w:header="0" w:top="1008" w:footer="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000"/>
      <w:numFmt w:val="decimal"/>
      <w:lvlText w:val="%1"/>
      <w:lvlJc w:val="start"/>
      <w:pPr>
        <w:tabs>
          <w:tab w:val="num" w:pos="1155"/>
        </w:tabs>
        <w:ind w:start="1155" w:hanging="1155"/>
      </w:pPr>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2088"/>
        </w:tabs>
        <w:ind w:start="2088"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288"/>
  <w:autoHyphenation w:val="true"/>
  <w:hyphenationZone w:val="0"/>
  <w:compat>
    <w:usePrinterMetrics/>
    <w:doNotBreakWrappedTables/>
    <w:compatSetting w:name="compatibilityMode" w:uri="http://schemas.microsoft.com/office/word" w:val="11"/>
  </w:compat>
  <w:docVars>
    <w:docVar w:name="ACTIVE" w:val="RDS_Private Eq.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288"/>
        <w:tab w:val="right" w:pos="10170" w:leader="none"/>
      </w:tabs>
      <w:jc w:val="both"/>
      <w:outlineLvl w:val="0"/>
    </w:pPr>
    <w:rPr>
      <w:b/>
      <w:sz w:val="28"/>
    </w:rPr>
  </w:style>
  <w:style w:type="paragraph" w:styleId="Heading2">
    <w:name w:val="heading 2"/>
    <w:basedOn w:val="Normal"/>
    <w:next w:val="Normal"/>
    <w:qFormat/>
    <w:pPr>
      <w:keepNext w:val="true"/>
      <w:numPr>
        <w:ilvl w:val="1"/>
        <w:numId w:val="1"/>
      </w:numPr>
      <w:tabs>
        <w:tab w:val="clear" w:pos="288"/>
        <w:tab w:val="right" w:pos="10170" w:leader="none"/>
      </w:tabs>
      <w:jc w:val="both"/>
      <w:outlineLvl w:val="1"/>
    </w:pPr>
    <w:rPr>
      <w:b/>
      <w:sz w:val="22"/>
    </w:rPr>
  </w:style>
  <w:style w:type="paragraph" w:styleId="Heading3">
    <w:name w:val="heading 3"/>
    <w:basedOn w:val="Normal"/>
    <w:next w:val="Normal"/>
    <w:qFormat/>
    <w:pPr>
      <w:keepNext w:val="true"/>
      <w:numPr>
        <w:ilvl w:val="2"/>
        <w:numId w:val="1"/>
      </w:numPr>
      <w:tabs>
        <w:tab w:val="clear" w:pos="288"/>
        <w:tab w:val="right" w:pos="10170" w:leader="none"/>
      </w:tabs>
      <w:jc w:val="both"/>
      <w:outlineLvl w:val="2"/>
    </w:pPr>
    <w:rPr>
      <w:b/>
      <w:sz w:val="21"/>
    </w:rPr>
  </w:style>
  <w:style w:type="paragraph" w:styleId="Heading4">
    <w:name w:val="heading 4"/>
    <w:basedOn w:val="Normal"/>
    <w:next w:val="Normal"/>
    <w:qFormat/>
    <w:pPr>
      <w:keepNext w:val="true"/>
      <w:numPr>
        <w:ilvl w:val="3"/>
        <w:numId w:val="1"/>
      </w:numPr>
      <w:pBdr>
        <w:top w:val="double" w:sz="4" w:space="1" w:color="000000"/>
        <w:bottom w:val="single" w:sz="4" w:space="1" w:color="000000"/>
      </w:pBdr>
      <w:tabs>
        <w:tab w:val="clear" w:pos="288"/>
        <w:tab w:val="right" w:pos="9900" w:leader="none"/>
      </w:tabs>
      <w:ind w:hanging="0" w:start="0" w:end="43"/>
      <w:jc w:val="both"/>
      <w:outlineLvl w:val="3"/>
    </w:pPr>
    <w:rPr>
      <w:b/>
      <w:sz w:val="24"/>
    </w:rPr>
  </w:style>
  <w:style w:type="paragraph" w:styleId="Heading5">
    <w:name w:val="heading 5"/>
    <w:basedOn w:val="Normal"/>
    <w:next w:val="Normal"/>
    <w:qFormat/>
    <w:pPr>
      <w:keepNext w:val="true"/>
      <w:numPr>
        <w:ilvl w:val="4"/>
        <w:numId w:val="1"/>
      </w:numPr>
      <w:pBdr>
        <w:bottom w:val="double" w:sz="6" w:space="1" w:color="000000"/>
      </w:pBdr>
      <w:tabs>
        <w:tab w:val="clear" w:pos="288"/>
        <w:tab w:val="left" w:pos="5940" w:leader="none"/>
        <w:tab w:val="left" w:pos="6120" w:leader="none"/>
      </w:tabs>
      <w:jc w:val="both"/>
      <w:outlineLvl w:val="4"/>
    </w:pPr>
    <w:rPr>
      <w:b/>
      <w:iCs/>
      <w:sz w:val="32"/>
      <w:lang w:val="en-CA" w:eastAsia="en-CA"/>
    </w:rPr>
  </w:style>
  <w:style w:type="paragraph" w:styleId="Heading6">
    <w:name w:val="heading 6"/>
    <w:basedOn w:val="Normal"/>
    <w:next w:val="Normal"/>
    <w:qFormat/>
    <w:pPr>
      <w:keepNext w:val="true"/>
      <w:numPr>
        <w:ilvl w:val="5"/>
        <w:numId w:val="1"/>
      </w:numPr>
      <w:tabs>
        <w:tab w:val="clear" w:pos="288"/>
        <w:tab w:val="right" w:pos="10260" w:leader="none"/>
      </w:tabs>
      <w:jc w:val="center"/>
      <w:outlineLvl w:val="5"/>
    </w:pPr>
    <w:rPr>
      <w:b/>
      <w:iCs/>
      <w:sz w:val="24"/>
      <w:lang w:val="en-CA" w:eastAsia="en-CA"/>
    </w:rPr>
  </w:style>
  <w:style w:type="paragraph" w:styleId="Heading7">
    <w:name w:val="heading 7"/>
    <w:basedOn w:val="Normal"/>
    <w:next w:val="Normal"/>
    <w:qFormat/>
    <w:pPr>
      <w:keepNext w:val="true"/>
      <w:numPr>
        <w:ilvl w:val="0"/>
        <w:numId w:val="2"/>
      </w:numPr>
      <w:jc w:val="both"/>
      <w:outlineLvl w:val="6"/>
    </w:pPr>
    <w:rPr>
      <w:b/>
      <w:bCs/>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numPr>
        <w:ilvl w:val="8"/>
        <w:numId w:val="1"/>
      </w:numPr>
      <w:tabs>
        <w:tab w:val="clear" w:pos="288"/>
        <w:tab w:val="right" w:pos="10170" w:leader="none"/>
      </w:tabs>
      <w:jc w:val="both"/>
      <w:outlineLvl w:val="8"/>
    </w:pPr>
    <w:rPr>
      <w:b/>
      <w:bCs/>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rFonts w:ascii="Symbol" w:hAnsi="Symbol" w:cs="Symbol"/>
    </w:rPr>
  </w:style>
  <w:style w:type="character" w:styleId="WW8Num3z2">
    <w:name w:val="WW8Num3z2"/>
    <w:qFormat/>
    <w:rPr>
      <w:rFonts w:ascii="Wingdings" w:hAnsi="Wingdings" w:eastAsia="Times New Roman" w:cs="Times New Roman"/>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rFonts w:ascii="Wingdings" w:hAnsi="Wingdings"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ingdings" w:hAnsi="Wingdings"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style>
  <w:style w:type="character" w:styleId="WW8Num24z0">
    <w:name w:val="WW8Num2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1"/>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288"/>
        <w:tab w:val="center" w:pos="4986" w:leader="none"/>
        <w:tab w:val="right" w:pos="9972" w:leader="none"/>
      </w:tabs>
    </w:pPr>
    <w:rPr/>
  </w:style>
  <w:style w:type="paragraph" w:styleId="Header">
    <w:name w:val="header"/>
    <w:basedOn w:val="Normal"/>
    <w:pPr>
      <w:tabs>
        <w:tab w:val="clear" w:pos="288"/>
        <w:tab w:val="center" w:pos="4320" w:leader="none"/>
        <w:tab w:val="right" w:pos="8640" w:leader="none"/>
      </w:tabs>
    </w:pPr>
    <w:rPr/>
  </w:style>
  <w:style w:type="paragraph" w:styleId="Footer">
    <w:name w:val="footer"/>
    <w:basedOn w:val="Normal"/>
    <w:pPr>
      <w:tabs>
        <w:tab w:val="clear" w:pos="288"/>
        <w:tab w:val="center" w:pos="4320" w:leader="none"/>
        <w:tab w:val="right" w:pos="8640" w:leader="none"/>
      </w:tabs>
    </w:pPr>
    <w:rPr/>
  </w:style>
  <w:style w:type="paragraph" w:styleId="BodyTextIndent">
    <w:name w:val="Body Text Indent"/>
    <w:basedOn w:val="Normal"/>
    <w:pPr>
      <w:tabs>
        <w:tab w:val="clear" w:pos="288"/>
        <w:tab w:val="right" w:pos="10170" w:leader="none"/>
      </w:tabs>
      <w:ind w:hanging="0" w:start="360" w:end="0"/>
      <w:jc w:val="both"/>
    </w:pPr>
    <w:rPr>
      <w:sz w:val="21"/>
    </w:rPr>
  </w:style>
  <w:style w:type="paragraph" w:styleId="BodyTextIndent2">
    <w:name w:val="Body Text Indent 2"/>
    <w:basedOn w:val="Normal"/>
    <w:qFormat/>
    <w:pPr>
      <w:tabs>
        <w:tab w:val="clear" w:pos="288"/>
        <w:tab w:val="right" w:pos="10170" w:leader="none"/>
      </w:tabs>
      <w:ind w:hanging="0" w:start="270" w:end="0"/>
      <w:jc w:val="both"/>
    </w:pPr>
    <w:rPr>
      <w:sz w:val="21"/>
    </w:rPr>
  </w:style>
  <w:style w:type="paragraph" w:styleId="BodyText2">
    <w:name w:val="Body Text 2"/>
    <w:basedOn w:val="Normal"/>
    <w:qFormat/>
    <w:pPr>
      <w:jc w:val="both"/>
    </w:pPr>
    <w:rPr>
      <w:b/>
      <w:bCs/>
      <w:sz w:val="21"/>
    </w:rPr>
  </w:style>
  <w:style w:type="paragraph" w:styleId="BodyTextIndent3">
    <w:name w:val="Body Text Indent 3"/>
    <w:basedOn w:val="Normal"/>
    <w:qFormat/>
    <w:pPr>
      <w:tabs>
        <w:tab w:val="clear" w:pos="288"/>
        <w:tab w:val="right" w:pos="10170" w:leader="none"/>
      </w:tabs>
      <w:ind w:hanging="0" w:start="27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2001-10-02T20:03:00Z</dcterms:created>
  <dc:creator>TCI</dc:creator>
  <dc:description/>
  <dc:language>en-CA</dc:language>
  <cp:lastModifiedBy>rsaltiel</cp:lastModifiedBy>
  <cp:lastPrinted>2000-11-05T11:36:00Z</cp:lastPrinted>
  <dcterms:modified xsi:type="dcterms:W3CDTF">2001-10-02T20:03:00Z</dcterms:modified>
  <cp:revision>2</cp:revision>
  <dc:subject/>
  <dc:title>Manuel Davila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-657558680</vt:r8>
  </property>
  <property fmtid="{D5CDD505-2E9C-101B-9397-08002B2CF9AE}" pid="3" name="_AuthorEmail">
    <vt:lpwstr>R_SAETTONE@email.msn.com</vt:lpwstr>
  </property>
  <property fmtid="{D5CDD505-2E9C-101B-9397-08002B2CF9AE}" pid="4" name="_AuthorEmailDisplayName">
    <vt:lpwstr>R_SAETTONE</vt:lpwstr>
  </property>
  <property fmtid="{D5CDD505-2E9C-101B-9397-08002B2CF9AE}" pid="5" name="_EmailSubject">
    <vt:lpwstr>Resume</vt:lpwstr>
  </property>
</Properties>
</file>