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240" w:after="60"/>
        <w:ind w:hanging="0" w:start="0"/>
        <w:rPr/>
      </w:pPr>
      <w:r>
        <w:rPr/>
        <w:t>Natural Gas Forecasting Sessions using GPCM</w:t>
      </w:r>
    </w:p>
    <w:p>
      <w:pPr>
        <w:pStyle w:val="Normal"/>
        <w:rPr>
          <w:rFonts w:ascii="Arial" w:hAnsi="Arial" w:cs="Arial"/>
          <w:sz w:val="20"/>
        </w:rPr>
      </w:pPr>
      <w:r>
        <w:rPr>
          <w:rFonts w:cs="Arial" w:ascii="Arial" w:hAnsi="Arial"/>
          <w:sz w:val="20"/>
        </w:rPr>
      </w:r>
    </w:p>
    <w:p>
      <w:pPr>
        <w:pStyle w:val="Normal"/>
        <w:rPr/>
      </w:pPr>
      <w:r>
        <w:rPr/>
        <w:t>RDI and RBA Consulting are teaming up again to provide a user forum for the GPCM natural gas forecasting system.  Two new breakout sessions are being scheduled from 2pm to 5pm on Wednesday May 17</w:t>
      </w:r>
      <w:r>
        <w:rPr>
          <w:vertAlign w:val="superscript"/>
        </w:rPr>
        <w:t>th</w:t>
      </w:r>
      <w:r>
        <w:rPr/>
        <w:t xml:space="preserve"> and Thursday May 18</w:t>
      </w:r>
      <w:r>
        <w:rPr>
          <w:vertAlign w:val="superscript"/>
        </w:rPr>
        <w:t>th</w:t>
      </w:r>
      <w:r>
        <w:rPr/>
        <w:t xml:space="preserve">.  These sessions are designed as highly interactive workshops that will allow users of GPCM and GASdat to maximize their productivity with the GPCM system.  These session will also provide an opportunity for an in depth discussion on the modeling methods with RDI, RBAC, and fellow users of GPCM. Sessions will be led by Michael F. Farina from the RDI gas consulting group and Dr. Robert E. Brooks, president of RBA Consultants and the designer of the GPCM gas market model.  </w:t>
      </w:r>
    </w:p>
    <w:p>
      <w:pPr>
        <w:pStyle w:val="Normal"/>
        <w:rPr/>
      </w:pPr>
      <w:r>
        <w:rPr/>
      </w:r>
    </w:p>
    <w:p>
      <w:pPr>
        <w:pStyle w:val="Normal"/>
        <w:rPr/>
      </w:pPr>
      <w:r>
        <w:rPr/>
        <w:t xml:space="preserve">Both session will begin with a brief discussion of the GPCM system, and then move to advanced user issues.  The Wednesday session will focus on gas transmission issues and modeling.  The Thursday session will cover gas supply and demand analysis.  A detailed description of session topics follows: </w:t>
      </w:r>
    </w:p>
    <w:p>
      <w:pPr>
        <w:pStyle w:val="Normal"/>
        <w:rPr>
          <w:rFonts w:ascii="Arial" w:hAnsi="Arial" w:cs="Arial"/>
          <w:sz w:val="20"/>
        </w:rPr>
      </w:pPr>
      <w:r>
        <w:rPr>
          <w:rFonts w:cs="Arial" w:ascii="Arial" w:hAnsi="Arial"/>
          <w:sz w:val="20"/>
        </w:rPr>
      </w:r>
    </w:p>
    <w:p>
      <w:pPr>
        <w:pStyle w:val="Heading2"/>
        <w:numPr>
          <w:ilvl w:val="0"/>
          <w:numId w:val="0"/>
        </w:numPr>
        <w:ind w:hanging="0" w:start="0"/>
        <w:jc w:val="start"/>
        <w:rPr/>
      </w:pPr>
      <w:r>
        <w:rPr/>
        <w:t>GAS TRANSPORTATION MODELING – Wednesday May 17th Session</w:t>
      </w:r>
    </w:p>
    <w:p>
      <w:pPr>
        <w:pStyle w:val="Heading2"/>
        <w:numPr>
          <w:ilvl w:val="0"/>
          <w:numId w:val="2"/>
        </w:numPr>
        <w:jc w:val="start"/>
        <w:rPr>
          <w:rFonts w:ascii="CenturyExpd BT;Bookman Old Style" w:hAnsi="CenturyExpd BT;Bookman Old Style" w:cs="CenturyExpd BT;Bookman Old Style"/>
          <w:b w:val="false"/>
          <w:caps w:val="false"/>
          <w:smallCaps w:val="false"/>
          <w:sz w:val="22"/>
        </w:rPr>
      </w:pPr>
      <w:r>
        <w:rPr>
          <w:rFonts w:cs="CenturyExpd BT;Bookman Old Style" w:ascii="CenturyExpd BT;Bookman Old Style" w:hAnsi="CenturyExpd BT;Bookman Old Style"/>
          <w:b w:val="false"/>
          <w:caps w:val="false"/>
          <w:smallCaps w:val="false"/>
          <w:sz w:val="22"/>
        </w:rPr>
        <w:t>With FERC Order 637 understanding the value of capacity along various pipeline segments has become even more important.  Lifting of the price caps in the capacity release market will necessitate changes the shape of gas transportation discounting algorithms in the model. Understand how best to model these changes in your own analysis.  We will spend time discussing how to define full and zero discount quantities that are critical to your basis forecasts, along handling other rate structure changes like seasonal rates.</w:t>
      </w:r>
    </w:p>
    <w:p>
      <w:pPr>
        <w:pStyle w:val="Normal"/>
        <w:numPr>
          <w:ilvl w:val="0"/>
          <w:numId w:val="3"/>
        </w:numPr>
        <w:rPr/>
      </w:pPr>
      <w:r>
        <w:rPr/>
        <w:t>Handling pipeline capacity expansion in the long term can be tricky at best.  Learn techniques for understand where it makes sense to add capacity based on simplified analysis of project economics.  Also learn the best methods for estimating pipeline capacity using data in RDI’s GASdat or by simple hydraulics calculations.</w:t>
      </w:r>
    </w:p>
    <w:p>
      <w:pPr>
        <w:pStyle w:val="Normal"/>
        <w:rPr>
          <w:rFonts w:ascii="Arial" w:hAnsi="Arial" w:cs="Arial"/>
          <w:sz w:val="20"/>
        </w:rPr>
      </w:pPr>
      <w:r>
        <w:rPr>
          <w:rFonts w:cs="Arial" w:ascii="Arial" w:hAnsi="Arial"/>
          <w:sz w:val="20"/>
        </w:rPr>
      </w:r>
    </w:p>
    <w:p>
      <w:pPr>
        <w:pStyle w:val="Heading2"/>
        <w:numPr>
          <w:ilvl w:val="0"/>
          <w:numId w:val="0"/>
        </w:numPr>
        <w:ind w:hanging="0" w:start="0"/>
        <w:jc w:val="start"/>
        <w:rPr>
          <w:rFonts w:ascii="Arial" w:hAnsi="Arial" w:cs="Arial"/>
          <w:b w:val="false"/>
        </w:rPr>
      </w:pPr>
      <w:r>
        <w:rPr/>
        <w:t>GAS SUPPLY AND DEMAND MODELING - Thursday May 18th Session</w:t>
      </w:r>
    </w:p>
    <w:p>
      <w:pPr>
        <w:pStyle w:val="Normal"/>
        <w:numPr>
          <w:ilvl w:val="0"/>
          <w:numId w:val="5"/>
        </w:numPr>
        <w:rPr/>
      </w:pPr>
      <w:r>
        <w:rPr/>
        <w:t xml:space="preserve">The gas reserve base, drilling activity, and industry investment all interact to define productivity from the wellhead.  RDI and RBAC will provide insights on how to revise and refine supply curve estimates using data industry data and the new </w:t>
      </w:r>
      <w:r>
        <w:rPr>
          <w:i/>
        </w:rPr>
        <w:t xml:space="preserve">isogram </w:t>
      </w:r>
      <w:r>
        <w:rPr/>
        <w:t>feature in GPCM.</w:t>
      </w:r>
    </w:p>
    <w:p>
      <w:pPr>
        <w:pStyle w:val="Normal"/>
        <w:rPr/>
      </w:pPr>
      <w:r>
        <w:rPr/>
      </w:r>
    </w:p>
    <w:p>
      <w:pPr>
        <w:pStyle w:val="Normal"/>
        <w:numPr>
          <w:ilvl w:val="0"/>
          <w:numId w:val="6"/>
        </w:numPr>
        <w:rPr/>
      </w:pPr>
      <w:r>
        <w:rPr/>
        <w:t>Learn the econometric techniques and other methods used to forecast residential, commercial and industrial gas demand and how to use those within the GPCM demand curves.</w:t>
      </w:r>
    </w:p>
    <w:p>
      <w:pPr>
        <w:pStyle w:val="Normal"/>
        <w:rPr>
          <w:rFonts w:ascii="Arial" w:hAnsi="Arial" w:cs="Arial"/>
          <w:sz w:val="20"/>
        </w:rPr>
      </w:pPr>
      <w:r>
        <w:rPr>
          <w:rFonts w:cs="Arial" w:ascii="Arial" w:hAnsi="Arial"/>
          <w:sz w:val="20"/>
        </w:rPr>
      </w:r>
    </w:p>
    <w:p>
      <w:pPr>
        <w:pStyle w:val="Heading2"/>
        <w:numPr>
          <w:ilvl w:val="0"/>
          <w:numId w:val="0"/>
        </w:numPr>
        <w:ind w:hanging="0" w:start="0"/>
        <w:jc w:val="start"/>
        <w:rPr>
          <w:rFonts w:ascii="Arial" w:hAnsi="Arial" w:cs="Arial"/>
          <w:b w:val="false"/>
        </w:rPr>
      </w:pPr>
      <w:r>
        <w:rPr/>
        <w:t>Graphing gpcm results using powermap</w:t>
      </w:r>
    </w:p>
    <w:p>
      <w:pPr>
        <w:pStyle w:val="Normal"/>
        <w:numPr>
          <w:ilvl w:val="0"/>
          <w:numId w:val="6"/>
        </w:numPr>
        <w:rPr/>
      </w:pPr>
      <w:r>
        <w:rPr/>
        <w:t>Mike Farina will show you how RDI uses PowerMap to help visualize results from a GPCM run, including flows and prices, as well as inputs such as tariffs and capacities.  We will schedule this session on Wednesday or Thursday, based on a survey of attendees.</w:t>
      </w:r>
    </w:p>
    <w:p>
      <w:pPr>
        <w:pStyle w:val="Normal"/>
        <w:rPr>
          <w:rFonts w:ascii="Arial" w:hAnsi="Arial" w:cs="Arial"/>
          <w:sz w:val="20"/>
        </w:rPr>
      </w:pPr>
      <w:r>
        <w:rPr>
          <w:rFonts w:cs="Arial" w:ascii="Arial" w:hAnsi="Arial"/>
          <w:sz w:val="20"/>
        </w:rPr>
      </w:r>
    </w:p>
    <w:p>
      <w:pPr>
        <w:pStyle w:val="Heading2"/>
        <w:numPr>
          <w:ilvl w:val="0"/>
          <w:numId w:val="0"/>
        </w:numPr>
        <w:ind w:hanging="0" w:start="0"/>
        <w:jc w:val="start"/>
        <w:rPr>
          <w:rFonts w:ascii="Arial" w:hAnsi="Arial" w:cs="Arial"/>
          <w:b w:val="false"/>
        </w:rPr>
      </w:pPr>
      <w:r>
        <w:rPr/>
        <w:t>INDIVIDUAL SESSIONS WITH DR. BROOKS</w:t>
      </w:r>
    </w:p>
    <w:p>
      <w:pPr>
        <w:pStyle w:val="Normal"/>
        <w:numPr>
          <w:ilvl w:val="0"/>
          <w:numId w:val="6"/>
        </w:numPr>
        <w:rPr/>
      </w:pPr>
      <w:r>
        <w:rPr/>
        <w:t>As we did last year, we will be setting aside time for individual working sessions with Bob Brooks.  If you want to schedule such a session, let him know what times you will have available before the conference so that he can schedule it.</w:t>
      </w:r>
    </w:p>
    <w:p>
      <w:pPr>
        <w:pStyle w:val="Normal"/>
        <w:rPr/>
      </w:pPr>
      <w:r>
        <w:rPr/>
      </w:r>
    </w:p>
    <w:p>
      <w:pPr>
        <w:pStyle w:val="Heading2"/>
        <w:numPr>
          <w:ilvl w:val="0"/>
          <w:numId w:val="0"/>
        </w:numPr>
        <w:ind w:hanging="0" w:start="0"/>
        <w:jc w:val="start"/>
        <w:rPr>
          <w:rFonts w:ascii="Arial" w:hAnsi="Arial" w:cs="Arial"/>
          <w:b w:val="false"/>
        </w:rPr>
      </w:pPr>
      <w:r>
        <w:rPr/>
        <w:t>SPECIAL BONUS:</w:t>
      </w:r>
    </w:p>
    <w:p>
      <w:pPr>
        <w:pStyle w:val="Normal"/>
        <w:rPr/>
      </w:pPr>
      <w:r>
        <w:rPr/>
        <w:t>All GPCM session attendees will receive a personal zip disk or CD with the latest RDI GPCM database, handy spread sheet tools and data for customizing your GPCM forecasts.</w:t>
      </w:r>
    </w:p>
    <w:p>
      <w:pPr>
        <w:pStyle w:val="Normal"/>
        <w:rPr/>
      </w:pPr>
      <w:r>
        <w:rPr/>
      </w:r>
    </w:p>
    <w:p>
      <w:pPr>
        <w:pStyle w:val="Normal"/>
        <w:rPr/>
      </w:pPr>
      <w:r>
        <w:rPr/>
        <w:t>We look forward to seeing you at the conference!</w:t>
      </w:r>
    </w:p>
    <w:p>
      <w:pPr>
        <w:pStyle w:val="Normal"/>
        <w:rPr/>
      </w:pPr>
      <w:r>
        <w:rPr/>
      </w:r>
    </w:p>
    <w:p>
      <w:pPr>
        <w:pStyle w:val="Normal"/>
        <w:rPr/>
      </w:pPr>
      <w:r>
        <w:rPr/>
      </w:r>
    </w:p>
    <w:p>
      <w:pPr>
        <w:pStyle w:val="Normal"/>
        <w:rPr/>
      </w:pPr>
      <w:r>
        <w:rPr/>
      </w:r>
    </w:p>
    <w:p>
      <w:pPr>
        <w:pStyle w:val="Normal"/>
        <w:rPr/>
      </w:pPr>
      <w:r>
        <w:rPr/>
        <w:t>Michael F. Farina</w:t>
      </w:r>
    </w:p>
    <w:p>
      <w:pPr>
        <w:pStyle w:val="Normal"/>
        <w:rPr/>
      </w:pPr>
      <w:r>
        <w:rPr/>
        <w:t>RDI Consulting</w:t>
      </w:r>
    </w:p>
    <w:p>
      <w:pPr>
        <w:pStyle w:val="Normal"/>
        <w:rPr>
          <w:sz w:val="20"/>
        </w:rPr>
      </w:pPr>
      <w:r>
        <w:rPr>
          <w:sz w:val="20"/>
        </w:rPr>
      </w:r>
    </w:p>
    <w:p>
      <w:pPr>
        <w:pStyle w:val="Normal"/>
        <w:rPr/>
      </w:pPr>
      <w:r>
        <w:rPr>
          <w:sz w:val="20"/>
        </w:rPr>
        <w:br/>
      </w:r>
      <w:r>
        <w:rPr/>
        <w:t xml:space="preserve"> </w:t>
      </w:r>
    </w:p>
    <w:sectPr>
      <w:headerReference w:type="default" r:id="rId2"/>
      <w:footerReference w:type="default" r:id="rId3"/>
      <w:type w:val="nextPage"/>
      <w:pgSz w:w="12240" w:h="15840"/>
      <w:pgMar w:left="1656" w:right="1656" w:gutter="0" w:header="576" w:top="1440" w:footer="576" w:bottom="12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Expd BT">
    <w:altName w:val="Bookman Old Style"/>
    <w:charset w:val="00" w:characterSet="windows-1252"/>
    <w:family w:val="roman"/>
    <w:pitch w:val="variable"/>
  </w:font>
  <w:font w:name="Century725 Cn BT">
    <w:altName w:val="Bookman Old Style"/>
    <w:charset w:val="00" w:characterSet="windows-1252"/>
    <w:family w:val="roman"/>
    <w:pitch w:val="variable"/>
  </w:font>
  <w:font w:name="Futura MdCn BT">
    <w:altName w:val="Arial Narrow"/>
    <w:charset w:val="00" w:characterSet="windows-1252"/>
    <w:family w:val="swiss"/>
    <w:pitch w:val="variable"/>
  </w:font>
  <w:font w:name="Futura BdCn BT">
    <w:charset w:val="00" w:characterSet="windows-1252"/>
    <w:family w:val="swiss"/>
    <w:pitch w:val="variable"/>
  </w:font>
  <w:font w:name="Futura Md BT">
    <w:altName w:val="Lucida Sans Unicode"/>
    <w:charset w:val="00" w:characterSet="windows-1252"/>
    <w:family w:val="swiss"/>
    <w:pitch w:val="variable"/>
  </w:font>
  <w:font w:name="Liberation Sans">
    <w:altName w:val="Arial"/>
    <w:charset w:val="01" w:characterSet="utf-8"/>
    <w:family w:val="swiss"/>
    <w:pitch w:val="variable"/>
  </w:font>
  <w:font w:name="Futura Lt BT">
    <w:altName w:val="Lucida Sans Unicode"/>
    <w:charset w:val="00" w:characterSet="windows-1252"/>
    <w:family w:val="swiss"/>
    <w:pitch w:val="variable"/>
  </w:font>
  <w:font w:name="Futura LtCn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2" w:space="1" w:color="000000"/>
      </w:pBdr>
      <w:tabs>
        <w:tab w:val="clear" w:pos="4320"/>
        <w:tab w:val="clear" w:pos="8640"/>
        <w:tab w:val="right" w:pos="9720" w:leader="none"/>
      </w:tabs>
      <w:ind w:start="-900" w:end="-792"/>
      <w:rPr/>
    </w:pPr>
    <w:r>
      <w:rPr>
        <w:rStyle w:val="PageNumber"/>
        <w:b/>
        <w:sz w:val="20"/>
      </w:rPr>
      <w:tab/>
    </w:r>
    <w:r>
      <w:rPr>
        <w:rStyle w:val="PageNumber"/>
        <w:rFonts w:cs="Futura Md BT;Lucida Sans Unicode" w:ascii="Futura Md BT;Lucida Sans Unicode" w:hAnsi="Futura Md BT;Lucida Sans Unicode"/>
        <w:b/>
        <w:sz w:val="18"/>
      </w:rPr>
      <w:fldChar w:fldCharType="begin"/>
    </w:r>
    <w:r>
      <w:rPr>
        <w:rStyle w:val="PageNumber"/>
        <w:sz w:val="18"/>
        <w:b/>
        <w:rFonts w:cs="Futura Md BT;Lucida Sans Unicode" w:ascii="Futura Md BT;Lucida Sans Unicode" w:hAnsi="Futura Md BT;Lucida Sans Unicode"/>
      </w:rPr>
      <w:instrText xml:space="preserve"> PAGE </w:instrText>
    </w:r>
    <w:r>
      <w:rPr>
        <w:rStyle w:val="PageNumber"/>
        <w:sz w:val="18"/>
        <w:b/>
        <w:rFonts w:cs="Futura Md BT;Lucida Sans Unicode" w:ascii="Futura Md BT;Lucida Sans Unicode" w:hAnsi="Futura Md BT;Lucida Sans Unicode"/>
      </w:rPr>
      <w:fldChar w:fldCharType="separate"/>
    </w:r>
    <w:r>
      <w:rPr>
        <w:rStyle w:val="PageNumber"/>
        <w:sz w:val="18"/>
        <w:b/>
        <w:rFonts w:cs="Futura Md BT;Lucida Sans Unicode" w:ascii="Futura Md BT;Lucida Sans Unicode" w:hAnsi="Futura Md BT;Lucida Sans Unicode"/>
      </w:rPr>
      <w:t>2</w:t>
    </w:r>
    <w:r>
      <w:rPr>
        <w:rStyle w:val="PageNumber"/>
        <w:sz w:val="18"/>
        <w:b/>
        <w:rFonts w:cs="Futura Md BT;Lucida Sans Unicode" w:ascii="Futura Md BT;Lucida Sans Unicode" w:hAnsi="Futura Md BT;Lucida Sans Unicode"/>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tabs>
        <w:tab w:val="clear" w:pos="8640"/>
        <w:tab w:val="center" w:pos="4320" w:leader="none"/>
      </w:tabs>
      <w:ind w:start="-720" w:end="-792"/>
      <w:jc w:val="center"/>
      <w:rPr/>
    </w:pPr>
    <w:r>
      <w:rPr>
        <w:rFonts w:cs="Futura Md BT;Lucida Sans Unicode" w:ascii="Futura Md BT;Lucida Sans Unicode" w:hAnsi="Futura Md BT;Lucida Sans Unicode"/>
        <w:b/>
        <w:caps w:val="false"/>
        <w:smallCaps w:val="false"/>
        <w:color w:val="000000"/>
        <w:sz w:val="18"/>
      </w:rPr>
      <w:t>Resource Data International, Inc.</w:t>
    </w:r>
    <w:r>
      <w:rPr>
        <w:b/>
        <w:color w:val="000000"/>
        <w:sz w:val="20"/>
      </w:rPr>
      <w:t xml:space="preserve">  </w:t>
    </w:r>
    <w:r>
      <w:rPr>
        <w:rFonts w:eastAsia="Symbol" w:cs="Symbol" w:ascii="Symbol" w:hAnsi="Symbol"/>
        <w:b/>
        <w:color w:val="000000"/>
        <w:sz w:val="20"/>
      </w:rPr>
      <w:sym w:font="Symbol" w:char="f0b7"/>
    </w:r>
    <w:r>
      <w:rPr>
        <w:b/>
        <w:color w:val="000000"/>
        <w:sz w:val="20"/>
      </w:rPr>
      <w:t xml:space="preserve">  </w:t>
    </w:r>
    <w:r>
      <w:rPr>
        <w:rFonts w:cs="Futura MdCn BT;Arial Narrow" w:ascii="Futura MdCn BT;Arial Narrow" w:hAnsi="Futura MdCn BT;Arial Narrow"/>
        <w:b/>
        <w:color w:val="000000"/>
        <w:sz w:val="24"/>
      </w:rPr>
      <w:t>RDi</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sz w:val="24"/>
        <w:rFonts w:ascii="Futura Md BT;Lucida Sans Unicode" w:hAnsi="Futura Md BT;Lucida Sans Unicode" w:cs="Futura Lt BT;Lucida Sans Unicode"/>
      </w:rPr>
    </w:lvl>
    <w:lvl w:ilvl="1">
      <w:start w:val="1"/>
      <w:pStyle w:val="Heading2"/>
      <w:numFmt w:val="decimal"/>
      <w:lvlText w:val="%1.%2."/>
      <w:lvlJc w:val="start"/>
      <w:pPr>
        <w:tabs>
          <w:tab w:val="num" w:pos="1080"/>
        </w:tabs>
        <w:ind w:start="0" w:hanging="0"/>
      </w:pPr>
      <w:rPr>
        <w:rFonts w:ascii="Futura MdCn BT;Arial Narrow" w:hAnsi="Futura MdCn BT;Arial Narrow" w:cs="Futura Md BT;Lucida Sans Unicode"/>
      </w:rPr>
    </w:lvl>
    <w:lvl w:ilvl="2">
      <w:start w:val="1"/>
      <w:numFmt w:val="decimal"/>
      <w:lvlText w:val="%1.%2.%3."/>
      <w:lvlJc w:val="start"/>
      <w:pPr>
        <w:tabs>
          <w:tab w:val="num" w:pos="180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88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96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300"/>
    </w:pPr>
    <w:rPr>
      <w:rFonts w:ascii="CenturyExpd BT;Bookman Old Style" w:hAnsi="CenturyExpd BT;Bookman Old Style" w:eastAsia="Times New Roman" w:cs="CenturyExpd BT;Bookman Old Style"/>
      <w:color w:val="auto"/>
      <w:sz w:val="22"/>
      <w:szCs w:val="20"/>
      <w:lang w:val="en-US" w:eastAsia="zh-CN" w:bidi="hi-IN"/>
    </w:rPr>
  </w:style>
  <w:style w:type="paragraph" w:styleId="Heading1">
    <w:name w:val="heading 1"/>
    <w:basedOn w:val="Normal"/>
    <w:next w:val="Normal"/>
    <w:qFormat/>
    <w:pPr>
      <w:keepNext w:val="true"/>
      <w:numPr>
        <w:ilvl w:val="0"/>
        <w:numId w:val="4"/>
      </w:numPr>
      <w:pBdr>
        <w:bottom w:val="single" w:sz="4" w:space="1" w:color="000000"/>
      </w:pBdr>
      <w:tabs>
        <w:tab w:val="left" w:pos="720" w:leader="none"/>
      </w:tabs>
      <w:spacing w:before="240" w:after="60"/>
      <w:ind w:hanging="720" w:start="720" w:end="0"/>
      <w:outlineLvl w:val="0"/>
    </w:pPr>
    <w:rPr>
      <w:rFonts w:ascii="Century725 Cn BT;Bookman Old Style" w:hAnsi="Century725 Cn BT;Bookman Old Style" w:cs="Century725 Cn BT;Bookman Old Style"/>
      <w:b/>
      <w:kern w:val="2"/>
      <w:sz w:val="40"/>
    </w:rPr>
  </w:style>
  <w:style w:type="paragraph" w:styleId="Heading2">
    <w:name w:val="heading 2"/>
    <w:basedOn w:val="Normal"/>
    <w:next w:val="Normal"/>
    <w:qFormat/>
    <w:pPr>
      <w:keepNext w:val="true"/>
      <w:numPr>
        <w:ilvl w:val="1"/>
        <w:numId w:val="1"/>
      </w:numPr>
      <w:spacing w:before="120" w:after="240"/>
      <w:jc w:val="both"/>
      <w:outlineLvl w:val="1"/>
    </w:pPr>
    <w:rPr>
      <w:rFonts w:ascii="Futura MdCn BT;Arial Narrow" w:hAnsi="Futura MdCn BT;Arial Narrow" w:cs="Futura MdCn BT;Arial Narrow"/>
      <w:b/>
      <w:caps/>
      <w:sz w:val="28"/>
    </w:rPr>
  </w:style>
  <w:style w:type="paragraph" w:styleId="Heading3">
    <w:name w:val="heading 3"/>
    <w:basedOn w:val="Normal"/>
    <w:next w:val="Normal"/>
    <w:qFormat/>
    <w:pPr>
      <w:keepNext w:val="true"/>
      <w:spacing w:lineRule="atLeast" w:line="300" w:before="120" w:after="240"/>
      <w:jc w:val="both"/>
      <w:outlineLvl w:val="2"/>
    </w:pPr>
    <w:rPr>
      <w:rFonts w:ascii="Futura MdCn BT;Arial Narrow" w:hAnsi="Futura MdCn BT;Arial Narrow" w:cs="Futura MdCn BT;Arial Narrow"/>
      <w:b/>
      <w:sz w:val="28"/>
    </w:rPr>
  </w:style>
  <w:style w:type="paragraph" w:styleId="Heading4">
    <w:name w:val="heading 4"/>
    <w:basedOn w:val="Normal"/>
    <w:next w:val="Normal"/>
    <w:qFormat/>
    <w:pPr>
      <w:keepNext w:val="true"/>
      <w:outlineLvl w:val="3"/>
    </w:pPr>
    <w:rPr>
      <w:rFonts w:ascii="Futura BdCn BT" w:hAnsi="Futura BdCn BT" w:cs="Futura BdCn BT"/>
      <w:sz w:val="24"/>
    </w:rPr>
  </w:style>
  <w:style w:type="paragraph" w:styleId="Heading5">
    <w:name w:val="heading 5"/>
    <w:basedOn w:val="Normal"/>
    <w:next w:val="Normal"/>
    <w:qFormat/>
    <w:pPr>
      <w:spacing w:before="0" w:after="60"/>
      <w:ind w:hanging="0" w:start="360" w:end="0"/>
      <w:jc w:val="both"/>
      <w:outlineLvl w:val="4"/>
    </w:pPr>
    <w:rPr>
      <w:b/>
      <w:i/>
      <w:u w:val="single"/>
      <w:lang w:val="en-CA"/>
    </w:rPr>
  </w:style>
  <w:style w:type="paragraph" w:styleId="Heading6">
    <w:name w:val="heading 6"/>
    <w:basedOn w:val="Normal"/>
    <w:next w:val="Normal"/>
    <w:qFormat/>
    <w:pPr>
      <w:spacing w:before="240" w:after="0"/>
      <w:ind w:hanging="0" w:start="288" w:end="0"/>
      <w:outlineLvl w:val="5"/>
    </w:pPr>
    <w:rPr>
      <w:i/>
      <w:lang w:val="en-CA"/>
    </w:rPr>
  </w:style>
  <w:style w:type="paragraph" w:styleId="Heading7">
    <w:name w:val="heading 7"/>
    <w:basedOn w:val="Normal"/>
    <w:next w:val="Normal"/>
    <w:qFormat/>
    <w:pPr>
      <w:spacing w:before="240" w:after="60"/>
      <w:outlineLvl w:val="6"/>
    </w:pPr>
    <w:rPr>
      <w:rFonts w:ascii="Arial" w:hAnsi="Arial" w:cs="Arial"/>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Futura Md BT;Lucida Sans Unicode" w:hAnsi="Futura Md BT;Lucida Sans Unicode" w:cs="Futura Lt BT;Lucida Sans Unicode"/>
      <w:sz w:val="24"/>
    </w:rPr>
  </w:style>
  <w:style w:type="character" w:styleId="WW8Num6z1">
    <w:name w:val="WW8Num6z1"/>
    <w:qFormat/>
    <w:rPr>
      <w:rFonts w:ascii="Futura MdCn BT;Arial Narrow" w:hAnsi="Futura MdCn BT;Arial Narrow" w:cs="Futura Md BT;Lucida Sans Unicode"/>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CHARTTITLE"/>
    <w:qFormat/>
    <w:pPr>
      <w:spacing w:lineRule="auto" w:line="240"/>
    </w:pPr>
    <w:rPr>
      <w:rFonts w:ascii="Futura Lt BT;Lucida Sans Unicode" w:hAnsi="Futura Lt BT;Lucida Sans Unicode" w:cs="Futura Lt BT;Lucida Sans Unicode"/>
      <w:cap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Futura Lt BT;Lucida Sans Unicode" w:hAnsi="Futura Lt BT;Lucida Sans Unicode" w:cs="Futura Lt BT;Lucida Sans Unicode"/>
      <w:caps/>
      <w:spacing w:val="40"/>
      <w:sz w:val="16"/>
    </w:rPr>
  </w:style>
  <w:style w:type="paragraph" w:styleId="TOC1">
    <w:name w:val="toc 1"/>
    <w:basedOn w:val="Normal"/>
    <w:next w:val="Normal"/>
    <w:pPr>
      <w:tabs>
        <w:tab w:val="left" w:pos="720" w:leader="none"/>
        <w:tab w:val="right" w:pos="9207" w:leader="none"/>
      </w:tabs>
      <w:spacing w:before="240" w:after="240"/>
    </w:pPr>
    <w:rPr>
      <w:rFonts w:ascii="Futura Md BT;Lucida Sans Unicode" w:hAnsi="Futura Md BT;Lucida Sans Unicode" w:cs="Futura Md BT;Lucida Sans Unicode"/>
      <w:b/>
      <w:caps/>
      <w:sz w:val="24"/>
      <w:lang w:val="en-CA"/>
    </w:rPr>
  </w:style>
  <w:style w:type="paragraph" w:styleId="Footer">
    <w:name w:val="footer"/>
    <w:basedOn w:val="Normal"/>
    <w:pPr>
      <w:tabs>
        <w:tab w:val="clear" w:pos="720"/>
        <w:tab w:val="center" w:pos="4320" w:leader="none"/>
        <w:tab w:val="right" w:pos="8640" w:leader="none"/>
      </w:tabs>
    </w:pPr>
    <w:rPr>
      <w:rFonts w:ascii="Futura Lt BT;Lucida Sans Unicode" w:hAnsi="Futura Lt BT;Lucida Sans Unicode" w:cs="Futura Lt BT;Lucida Sans Unicode"/>
      <w:caps/>
      <w:color w:val="000000"/>
      <w:spacing w:val="40"/>
      <w:sz w:val="16"/>
    </w:rPr>
  </w:style>
  <w:style w:type="paragraph" w:styleId="FootnoteText">
    <w:name w:val="footnote text"/>
    <w:basedOn w:val="Normal"/>
    <w:pPr>
      <w:widowControl w:val="false"/>
      <w:spacing w:lineRule="atLeast" w:line="300" w:before="0" w:after="0"/>
    </w:pPr>
    <w:rPr>
      <w:sz w:val="20"/>
    </w:rPr>
  </w:style>
  <w:style w:type="paragraph" w:styleId="CHARTTITLE">
    <w:name w:val="CHART TITLE"/>
    <w:basedOn w:val="Heading7"/>
    <w:next w:val="Normal"/>
    <w:qFormat/>
    <w:pPr>
      <w:pBdr>
        <w:top w:val="single" w:sz="4" w:space="2" w:color="000000"/>
        <w:bottom w:val="single" w:sz="4" w:space="2" w:color="000000"/>
      </w:pBdr>
      <w:shd w:fill="A5A5A5" w:val="clear"/>
      <w:spacing w:lineRule="auto" w:line="240" w:before="0" w:after="0"/>
      <w:jc w:val="both"/>
    </w:pPr>
    <w:rPr>
      <w:rFonts w:ascii="Futura Md BT;Lucida Sans Unicode" w:hAnsi="Futura Md BT;Lucida Sans Unicode" w:cs="Futura Md BT;Lucida Sans Unicode"/>
      <w:b/>
      <w:caps/>
      <w:color w:val="000000"/>
      <w:sz w:val="16"/>
      <w:lang w:eastAsia="en-US"/>
    </w:rPr>
  </w:style>
  <w:style w:type="paragraph" w:styleId="TOC2">
    <w:name w:val="toc 2"/>
    <w:basedOn w:val="Normal"/>
    <w:next w:val="Normal"/>
    <w:pPr>
      <w:tabs>
        <w:tab w:val="left" w:pos="720" w:leader="none"/>
        <w:tab w:val="right" w:pos="9207" w:leader="none"/>
      </w:tabs>
      <w:spacing w:before="240" w:after="0"/>
    </w:pPr>
    <w:rPr>
      <w:rFonts w:ascii="Futura Md BT;Lucida Sans Unicode" w:hAnsi="Futura Md BT;Lucida Sans Unicode" w:cs="Futura Md BT;Lucida Sans Unicode"/>
      <w:b/>
      <w:caps/>
      <w:sz w:val="20"/>
      <w:lang w:val="en-CA"/>
    </w:rPr>
  </w:style>
  <w:style w:type="paragraph" w:styleId="TOC3">
    <w:name w:val="toc 3"/>
    <w:basedOn w:val="Normal"/>
    <w:next w:val="Normal"/>
    <w:pPr>
      <w:tabs>
        <w:tab w:val="clear" w:pos="720"/>
        <w:tab w:val="right" w:pos="9180" w:leader="none"/>
      </w:tabs>
      <w:ind w:hanging="0" w:start="720" w:end="0"/>
    </w:pPr>
    <w:rPr>
      <w:rFonts w:ascii="Futura LtCn BT" w:hAnsi="Futura LtCn BT" w:cs="Futura LtCn BT"/>
      <w:caps/>
      <w:lang w:val="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2000-04-18T14:17:00Z</dcterms:created>
  <dc:creator>Michael F. Farina</dc:creator>
  <dc:description/>
  <dc:language>en-CA</dc:language>
  <cp:lastModifiedBy>Robert E. Brooks</cp:lastModifiedBy>
  <cp:lastPrinted>1999-10-26T10:40:00Z</cp:lastPrinted>
  <dcterms:modified xsi:type="dcterms:W3CDTF">2000-04-18T14:17:00Z</dcterms:modified>
  <cp:revision>2</cp:revision>
  <dc:subject/>
  <dc:title>1</dc:title>
</cp:coreProperties>
</file>