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799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79930"/>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1223740030" r:id="rId2"/>
                              </w:object>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5.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1126701311" r:id="rId4"/>
                        </w:object>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r>
              <w:rPr>
                <w:rFonts w:cs="Arial" w:ascii="Arial" w:hAnsi="Arial"/>
              </w:rPr>
              <w:t>Caribbean, Central America, Colombia, Mexico and Venezuela /Regional and Country Groups</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r>
              <w:rPr>
                <w:rFonts w:cs="Arial" w:ascii="Arial" w:hAnsi="Arial"/>
              </w:rPr>
              <w:t>Ricardo Charvel</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29 June, 2000</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r>
              <w:rPr>
                <w:rFonts w:cs="Arial" w:ascii="Arial" w:hAnsi="Arial"/>
              </w:rPr>
              <w:t>Government and Regulatory Affairs reorganization for the region</w:t>
            </w:r>
          </w:p>
        </w:tc>
      </w:tr>
    </w:tbl>
    <w:p>
      <w:pPr>
        <w:pStyle w:val="Normal"/>
        <w:rPr>
          <w:lang w:val="en-US"/>
        </w:rPr>
      </w:pPr>
      <w:r>
        <w:rPr>
          <w:lang w:val="en-US"/>
        </w:rPr>
      </w:r>
    </w:p>
    <w:p>
      <w:pPr>
        <w:pStyle w:val="Normal"/>
        <w:rPr>
          <w:lang w:val="en-US"/>
        </w:rPr>
      </w:pPr>
      <w:r>
        <w:rPr>
          <w:lang w:val="en-US"/>
        </w:rPr>
        <w:t>As many of you are aware, the Governmental Affairs team supporting your  group has been reorganized over the past few weeks.  Amr Ibrahim will now be dedicated to regulatory affairs in India and a new team has been formed to serve the region.  Rick Shapiro, MD, Government Affairs – the Americas, has asked me to coordinate Mexico, Central America, the Caribbean , Colombia and Venezuela.  The members of the team areVinio Floris, Alberto Levy, Thane Twiggs and Kikumi Kishigami.  Vinio and Thane will be based in Houston and Alberto Levy will be based in Caracas,  Venezuela.  Kikumi and myself will continue to be based in Mexico City.</w:t>
      </w:r>
    </w:p>
    <w:p>
      <w:pPr>
        <w:pStyle w:val="Normal"/>
        <w:rPr>
          <w:lang w:val="en-US"/>
        </w:rPr>
      </w:pPr>
      <w:r>
        <w:rPr>
          <w:lang w:val="en-US"/>
        </w:rPr>
      </w:r>
    </w:p>
    <w:p>
      <w:pPr>
        <w:pStyle w:val="Normal"/>
        <w:rPr>
          <w:lang w:val="en-US"/>
        </w:rPr>
      </w:pPr>
      <w:r>
        <w:rPr>
          <w:lang w:val="en-US"/>
        </w:rPr>
        <w:t>Country assignments have been  agreed upon  in order to provide the best support for your development, commercial and asset management activities.  Thane Twiggs will have primary responsibility for Guatemala, El Salvador, Nicaragua, Puerto Rico and Jamaica.  Vinio Floris will be responsible for Panama, Honduras, Costa Rica and the Dominican Republic.  Alberto Levy will continue to support Venezuela and Colombia. Kikumi Kishigami will perform analysis and information management functions within the group.  I will continue to be responsible for Mexico and support the team throughout the region .  Should you have any questions or support needs, please feel free to contact me or the person in charge of the respective country or region.</w:t>
      </w:r>
    </w:p>
    <w:p>
      <w:pPr>
        <w:pStyle w:val="Normal"/>
        <w:rPr>
          <w:lang w:val="en-US"/>
        </w:rPr>
      </w:pPr>
      <w:r>
        <w:rPr>
          <w:lang w:val="en-US"/>
        </w:rPr>
      </w:r>
    </w:p>
    <w:p>
      <w:pPr>
        <w:pStyle w:val="Normal"/>
        <w:rPr>
          <w:lang w:val="en-US"/>
        </w:rPr>
      </w:pPr>
      <w:r>
        <w:rPr>
          <w:lang w:val="en-US"/>
        </w:rPr>
        <w:t>In addition to the country responsibilities, the team will provide, regulatory reviews and summaries, regulatory risk analysis (in conjunction with the regulatory risk team from the RAC process), advocacy,= and any assistance with the interpretation and formation of regulatory strategies, rules and operating norms as required by all of you.</w:t>
      </w:r>
    </w:p>
    <w:p>
      <w:pPr>
        <w:pStyle w:val="Normal"/>
        <w:rPr>
          <w:lang w:val="en-US"/>
        </w:rPr>
      </w:pPr>
      <w:r>
        <w:rPr>
          <w:lang w:val="en-US"/>
        </w:rPr>
      </w:r>
    </w:p>
    <w:p>
      <w:pPr>
        <w:pStyle w:val="Normal"/>
        <w:rPr>
          <w:lang w:val="en-US"/>
        </w:rPr>
      </w:pPr>
      <w:r>
        <w:rPr>
          <w:lang w:val="en-US"/>
        </w:rPr>
        <w:t xml:space="preserve">Alberto, Kikumi, Thane, Vinio and myself, look forward to supporting your efforts for Enron’s success in the region.  </w:t>
      </w:r>
    </w:p>
    <w:p>
      <w:pPr>
        <w:pStyle w:val="Heading3"/>
        <w:ind w:hanging="0" w:start="0"/>
        <w:jc w:val="both"/>
        <w:rPr>
          <w:lang w:val="en-US"/>
        </w:rPr>
      </w:pPr>
      <w:r>
        <w:rPr>
          <w:lang w:val="en-US"/>
        </w:rPr>
      </w:r>
    </w:p>
    <w:sectPr>
      <w:headerReference w:type="default" r:id="rId6"/>
      <w:headerReference w:type="first" r:id="rId7"/>
      <w:footerReference w:type="default" r:id="rId8"/>
      <w:footerReference w:type="first" r:id="rId9"/>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\@"dd-MM-yyyy" </w:instrText>
    </w:r>
    <w:r>
      <w:rPr/>
      <w:fldChar w:fldCharType="separate"/>
    </w:r>
    <w:r>
      <w:rPr/>
      <w:t>28/09/2025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jc w:val="both"/>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2000-06-26T21:09:00Z</dcterms:created>
  <dc:creator>EDC</dc:creator>
  <dc:description/>
  <dc:language>en-CA</dc:language>
  <cp:lastModifiedBy>rcharve</cp:lastModifiedBy>
  <cp:lastPrinted>2000-06-26T18:17:00Z</cp:lastPrinted>
  <dcterms:modified xsi:type="dcterms:W3CDTF">2000-06-26T21:41:00Z</dcterms:modified>
  <cp:revision>6</cp:revision>
  <dc:subject/>
  <dc:title>Enron International Memo</dc:title>
</cp:coreProperties>
</file>