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drawing>
          <wp:anchor behindDoc="0" distT="0" distB="0" distL="114935" distR="114935" simplePos="0" locked="0" layoutInCell="1" allowOverlap="1" relativeHeight="2">
            <wp:simplePos x="0" y="0"/>
            <wp:positionH relativeFrom="column">
              <wp:posOffset>-594360</wp:posOffset>
            </wp:positionH>
            <wp:positionV relativeFrom="paragraph">
              <wp:posOffset>-182880</wp:posOffset>
            </wp:positionV>
            <wp:extent cx="915035" cy="8985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40" r="-39" b="-40"/>
                    <a:stretch>
                      <a:fillRect/>
                    </a:stretch>
                  </pic:blipFill>
                  <pic:spPr bwMode="auto">
                    <a:xfrm>
                      <a:off x="0" y="0"/>
                      <a:ext cx="915035" cy="89852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3">
                <wp:simplePos x="0" y="0"/>
                <wp:positionH relativeFrom="column">
                  <wp:posOffset>411480</wp:posOffset>
                </wp:positionH>
                <wp:positionV relativeFrom="paragraph">
                  <wp:posOffset>635</wp:posOffset>
                </wp:positionV>
                <wp:extent cx="2560320" cy="1097280"/>
                <wp:effectExtent l="0" t="0" r="0" b="0"/>
                <wp:wrapNone/>
                <wp:docPr id="2" name="Frame1"/>
                <a:graphic xmlns:a="http://schemas.openxmlformats.org/drawingml/2006/main">
                  <a:graphicData uri="http://schemas.microsoft.com/office/word/2010/wordprocessingShape">
                    <wps:wsp>
                      <wps:cNvSpPr txBox="1"/>
                      <wps:spPr>
                        <a:xfrm>
                          <a:off x="0" y="0"/>
                          <a:ext cx="2560320" cy="1097280"/>
                        </a:xfrm>
                        <a:prstGeom prst="rect"/>
                        <a:solidFill>
                          <a:srgbClr val="FFFFFF"/>
                        </a:solidFill>
                      </wps:spPr>
                      <wps:txbx>
                        <w:txbxContent>
                          <w:p>
                            <w:pPr>
                              <w:pStyle w:val="DocumentLabel"/>
                              <w:spacing w:before="400" w:after="120"/>
                              <w:ind w:firstLine="840" w:end="0"/>
                              <w:rPr>
                                <w:rFonts w:ascii="Palatino" w:hAnsi="Palatino" w:cs="Palatino"/>
                              </w:rPr>
                            </w:pPr>
                            <w:r>
                              <w:rPr>
                                <w:rFonts w:cs="Palatino" w:ascii="Palatino" w:hAnsi="Palatino"/>
                                <w:sz w:val="36"/>
                              </w:rPr>
                              <w:t>Memo</w:t>
                            </w:r>
                          </w:p>
                          <w:p>
                            <w:pPr>
                              <w:pStyle w:val="Normal"/>
                              <w:rPr/>
                            </w:pPr>
                            <w:r>
                              <w:rPr>
                                <w:rStyle w:val="MessageHeaderLabel"/>
                                <w:rFonts w:cs="Palatino" w:ascii="Palatino" w:hAnsi="Palatino"/>
                                <w:sz w:val="22"/>
                              </w:rPr>
                              <w:t>Date:</w:t>
                            </w:r>
                            <w:r>
                              <w:rPr>
                                <w:rFonts w:cs="Palatino" w:ascii="Palatino" w:hAnsi="Palatino"/>
                                <w:sz w:val="22"/>
                              </w:rPr>
                              <w:tab/>
                              <w:t>April 12, 2001</w:t>
                              <w:tab/>
                              <w:tab/>
                              <w:tab/>
                            </w:r>
                          </w:p>
                        </w:txbxContent>
                      </wps:txbx>
                      <wps:bodyPr anchor="t" lIns="92075" tIns="46355" rIns="92075" bIns="46355">
                        <a:noAutofit/>
                      </wps:bodyPr>
                    </wps:wsp>
                  </a:graphicData>
                </a:graphic>
              </wp:anchor>
            </w:drawing>
          </mc:Choice>
          <mc:Fallback>
            <w:pict>
              <v:rect fillcolor="#FFFFFF" style="position:absolute;rotation:-0;width:201.6pt;height:86.4pt;mso-wrap-distance-left:9.05pt;mso-wrap-distance-right:9.05pt;mso-wrap-distance-top:0pt;mso-wrap-distance-bottom:0pt;margin-top:0pt;mso-position-vertical-relative:text;margin-left:32.4pt;mso-position-horizontal-relative:text">
                <v:textbox inset="0.100694444444444in,0.0506944444444444in,0.100694444444444in,0.0506944444444444in">
                  <w:txbxContent>
                    <w:p>
                      <w:pPr>
                        <w:pStyle w:val="DocumentLabel"/>
                        <w:spacing w:before="400" w:after="120"/>
                        <w:ind w:firstLine="840" w:end="0"/>
                        <w:rPr>
                          <w:rFonts w:ascii="Palatino" w:hAnsi="Palatino" w:cs="Palatino"/>
                        </w:rPr>
                      </w:pPr>
                      <w:r>
                        <w:rPr>
                          <w:rFonts w:cs="Palatino" w:ascii="Palatino" w:hAnsi="Palatino"/>
                          <w:sz w:val="36"/>
                        </w:rPr>
                        <w:t>Memo</w:t>
                      </w:r>
                    </w:p>
                    <w:p>
                      <w:pPr>
                        <w:pStyle w:val="Normal"/>
                        <w:rPr/>
                      </w:pPr>
                      <w:r>
                        <w:rPr>
                          <w:rStyle w:val="MessageHeaderLabel"/>
                          <w:rFonts w:cs="Palatino" w:ascii="Palatino" w:hAnsi="Palatino"/>
                          <w:sz w:val="22"/>
                        </w:rPr>
                        <w:t>Date:</w:t>
                      </w:r>
                      <w:r>
                        <w:rPr>
                          <w:rFonts w:cs="Palatino" w:ascii="Palatino" w:hAnsi="Palatino"/>
                          <w:sz w:val="22"/>
                        </w:rPr>
                        <w:tab/>
                        <w:t>April 12, 2001</w:t>
                        <w:tab/>
                        <w:tab/>
                        <w:tab/>
                      </w:r>
                    </w:p>
                  </w:txbxContent>
                </v:textbox>
                <w10:wrap type="none"/>
              </v:rect>
            </w:pict>
          </mc:Fallback>
        </mc:AlternateContent>
      </w:r>
    </w:p>
    <w:p>
      <w:pPr>
        <w:pStyle w:val="Normal"/>
        <w:rPr/>
      </w:pPr>
      <w:r>
        <w:rPr/>
      </w:r>
    </w:p>
    <w:p>
      <w:pPr>
        <w:pStyle w:val="Normal"/>
        <w:rPr/>
      </w:pPr>
      <w:r>
        <w:rPr/>
      </w:r>
    </w:p>
    <w:p>
      <w:pPr>
        <w:pStyle w:val="Normal"/>
        <w:rPr/>
      </w:pPr>
      <w:r>
        <w:rPr/>
      </w:r>
    </w:p>
    <w:p>
      <w:pPr>
        <w:pStyle w:val="MessageHeaderFirst"/>
        <w:ind w:hanging="0" w:start="0" w:end="0"/>
        <w:rPr>
          <w:rStyle w:val="MessageHeaderLabel"/>
          <w:rFonts w:ascii="Palatino" w:hAnsi="Palatino" w:cs="Palatino"/>
          <w:sz w:val="22"/>
        </w:rPr>
      </w:pPr>
      <w:r>
        <w:rPr/>
      </w:r>
    </w:p>
    <w:p>
      <w:pPr>
        <w:pStyle w:val="MessageHeaderFirst"/>
        <w:ind w:hanging="0" w:start="0" w:end="0"/>
        <w:rPr/>
      </w:pPr>
      <w:r>
        <w:rPr>
          <w:rStyle w:val="MessageHeaderLabel"/>
          <w:rFonts w:cs="Palatino" w:ascii="Palatino" w:hAnsi="Palatino"/>
          <w:sz w:val="22"/>
        </w:rPr>
        <w:t>To:</w:t>
      </w:r>
      <w:r>
        <w:rPr>
          <w:rFonts w:cs="Palatino" w:ascii="Palatino" w:hAnsi="Palatino"/>
          <w:sz w:val="22"/>
        </w:rPr>
        <w:t xml:space="preserve"> </w:t>
        <w:tab/>
        <w:t>EBS Government Affairs</w:t>
        <w:tab/>
        <w:tab/>
      </w:r>
    </w:p>
    <w:p>
      <w:pPr>
        <w:pStyle w:val="MessageHeader"/>
        <w:ind w:hanging="0" w:start="0" w:end="0"/>
        <w:rPr/>
      </w:pPr>
      <w:r>
        <w:rPr>
          <w:rStyle w:val="MessageHeaderLabel"/>
          <w:rFonts w:cs="Palatino" w:ascii="Palatino" w:hAnsi="Palatino"/>
          <w:sz w:val="22"/>
        </w:rPr>
        <w:t>From:</w:t>
      </w:r>
      <w:r>
        <w:rPr>
          <w:rFonts w:cs="Palatino" w:ascii="Palatino" w:hAnsi="Palatino"/>
          <w:sz w:val="22"/>
        </w:rPr>
        <w:tab/>
        <w:t xml:space="preserve"> Scott Bolton</w:t>
        <w:tab/>
        <w:tab/>
      </w:r>
    </w:p>
    <w:p>
      <w:pPr>
        <w:pStyle w:val="MessageHeaderLast"/>
        <w:ind w:hanging="0" w:start="0" w:end="0"/>
        <w:rPr/>
      </w:pPr>
      <w:r>
        <w:rPr>
          <w:rStyle w:val="MessageHeaderLabel"/>
          <w:rFonts w:cs="Palatino" w:ascii="Palatino" w:hAnsi="Palatino"/>
          <w:sz w:val="22"/>
        </w:rPr>
        <w:t>Re:</w:t>
      </w:r>
      <w:r>
        <w:rPr>
          <w:rFonts w:cs="Palatino" w:ascii="Palatino" w:hAnsi="Palatino"/>
          <w:sz w:val="22"/>
        </w:rPr>
        <w:tab/>
        <w:t>Initial Analysis of RBOC Petition for Removal of Dedicated Transport from UNE List</w:t>
        <w:tab/>
      </w:r>
    </w:p>
    <w:p>
      <w:pPr>
        <w:pStyle w:val="Normal"/>
        <w:rPr>
          <w:rFonts w:ascii="Palatino" w:hAnsi="Palatino" w:cs="Palatino"/>
          <w:sz w:val="22"/>
        </w:rPr>
      </w:pPr>
      <w:r>
        <w:rPr>
          <w:rFonts w:cs="Palatino" w:ascii="Palatino" w:hAnsi="Palatino"/>
          <w:sz w:val="22"/>
        </w:rPr>
        <w:t>After a couple of readings of the “Joint Petition of BellSouth, SBC, and Verizon for Elimination of Mandatory Unbundling of High-Capacity Loops and Dedicated Transport” I wanted to provide an outline of the petition and likely next steps for our group.  The below is by no means an exhaustive analysis, but rather a starting point as we start to get our arms around the meaning of this petition and its probable impact on EBS.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BACKGROUND</w:t>
      </w:r>
    </w:p>
    <w:p>
      <w:pPr>
        <w:pStyle w:val="Normal"/>
        <w:rPr>
          <w:rFonts w:ascii="Palatino" w:hAnsi="Palatino" w:cs="Palatino"/>
          <w:sz w:val="22"/>
        </w:rPr>
      </w:pPr>
      <w:r>
        <w:rPr>
          <w:rFonts w:cs="Palatino" w:ascii="Palatino" w:hAnsi="Palatino"/>
          <w:sz w:val="22"/>
        </w:rPr>
      </w:r>
    </w:p>
    <w:p>
      <w:pPr>
        <w:pStyle w:val="Normal"/>
        <w:rPr/>
      </w:pPr>
      <w:r>
        <w:rPr>
          <w:rFonts w:cs="Palatino" w:ascii="Palatino" w:hAnsi="Palatino"/>
          <w:sz w:val="22"/>
        </w:rPr>
        <w:t>On 4/5/01 BellSouth, SBC, and Verizon filed this petition as an accompaniment to the comments filed by SBC and Verizon in the proceeding of the Implementation of Local Competition Provisions of the Telecommunications Act of 1996.</w:t>
      </w:r>
      <w:r>
        <w:rPr>
          <w:rStyle w:val="FootnoteCharacters"/>
          <w:rStyle w:val="FootnoteReference"/>
          <w:rFonts w:cs="Palatino" w:ascii="Palatino" w:hAnsi="Palatino"/>
          <w:sz w:val="22"/>
        </w:rPr>
        <w:footnoteReference w:id="2"/>
      </w:r>
      <w:r>
        <w:rPr>
          <w:rFonts w:cs="Palatino" w:ascii="Palatino" w:hAnsi="Palatino"/>
          <w:sz w:val="22"/>
        </w:rPr>
        <w:t xml:space="preserve">  The FCC is currently investigating the amount of facilities-based local competition and use of UNE combinations or EELs (Extended Enhanced Loops) for Special Access, Dedicated Transport, and Private Line Services.</w:t>
      </w:r>
      <w:r>
        <w:rPr>
          <w:rStyle w:val="FootnoteCharacters"/>
          <w:rStyle w:val="FootnoteReference"/>
          <w:rFonts w:cs="Palatino" w:ascii="Palatino" w:hAnsi="Palatino"/>
          <w:sz w:val="22"/>
        </w:rPr>
        <w:footnoteReference w:id="3"/>
      </w:r>
      <w:r>
        <w:rPr>
          <w:rFonts w:cs="Palatino" w:ascii="Palatino" w:hAnsi="Palatino"/>
          <w:sz w:val="22"/>
        </w:rPr>
        <w:t xml:space="preserve">   In their comments</w:t>
      </w:r>
      <w:r>
        <w:rPr>
          <w:rStyle w:val="FootnoteCharacters"/>
          <w:rStyle w:val="FootnoteReference"/>
          <w:rFonts w:cs="Palatino" w:ascii="Palatino" w:hAnsi="Palatino"/>
          <w:sz w:val="22"/>
        </w:rPr>
        <w:footnoteReference w:id="4"/>
      </w:r>
      <w:r>
        <w:rPr>
          <w:rFonts w:cs="Palatino" w:ascii="Palatino" w:hAnsi="Palatino"/>
          <w:sz w:val="22"/>
        </w:rPr>
        <w:t xml:space="preserve">, SBC and Verizon lay out a series of statutory and economic arguments why these services should not be regulated as UNEs.  They make 3 central arguments – 1) the FCC erred in the past and undermined the intent of the ’96 Act by including these services as UNEs, 2) vibrant competition for these services exist in major MSAs, and 3) the FCC should not allow competitors to use UNE combinations to create Dedicated Transport and Private Line services that circumvent the ILEC’s Special Access pricing.   Their conclusion simply states that ILECs should not be required to make combinations of high-capacity loops and dedicated transport available to competitors and that the Commission should forbid the commingling of UNEs and access services.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SUMMARY OF PETITION</w:t>
      </w:r>
    </w:p>
    <w:p>
      <w:pPr>
        <w:pStyle w:val="Normal"/>
        <w:rPr>
          <w:rFonts w:ascii="Palatino" w:hAnsi="Palatino" w:cs="Palatino"/>
          <w:sz w:val="22"/>
        </w:rPr>
      </w:pPr>
      <w:r>
        <w:rPr>
          <w:rFonts w:cs="Palatino" w:ascii="Palatino" w:hAnsi="Palatino"/>
          <w:sz w:val="22"/>
        </w:rPr>
      </w:r>
    </w:p>
    <w:p>
      <w:pPr>
        <w:pStyle w:val="Normal"/>
        <w:rPr/>
      </w:pPr>
      <w:r>
        <w:rPr>
          <w:rFonts w:cs="Palatino" w:ascii="Palatino" w:hAnsi="Palatino"/>
          <w:sz w:val="22"/>
        </w:rPr>
        <w:t>The Petition follows up the comments requesting action by the Commission to remove these services from the UNE list.  The Petition expounds upon the comments by citing specific harm that would come to ILECs should the Commission not act expeditiously to provide relief.  The Petition also includes a supplemental analysis that illustrates the growth of facilities-based local competition in 150 MSAs.</w:t>
      </w:r>
      <w:r>
        <w:rPr>
          <w:rStyle w:val="FootnoteCharacters"/>
          <w:rStyle w:val="FootnoteReference"/>
          <w:rFonts w:cs="Palatino" w:ascii="Palatino" w:hAnsi="Palatino"/>
          <w:sz w:val="22"/>
        </w:rPr>
        <w:footnoteReference w:id="5"/>
      </w:r>
      <w:r>
        <w:rPr>
          <w:rFonts w:cs="Palatino" w:ascii="Palatino" w:hAnsi="Palatino"/>
          <w:sz w:val="22"/>
        </w:rPr>
        <w:t xml:space="preserve">  The Petition directly challenges the FCC’s UNE Remand Order by claiming that there currently exists so much competition for access and transport services that there should no longer be a requirement to unbundle these services and facilities to promote competitive entry for new providers.  Carriers who are denied such services are not impaired because they either have the ability to request such services from facilities-based CLECs or can deploy such facilities themselves.  </w:t>
      </w:r>
    </w:p>
    <w:p>
      <w:pPr>
        <w:pStyle w:val="Normal"/>
        <w:rPr>
          <w:rFonts w:ascii="Palatino" w:hAnsi="Palatino" w:cs="Palatino"/>
          <w:sz w:val="22"/>
        </w:rPr>
      </w:pPr>
      <w:r>
        <w:rPr>
          <w:rFonts w:cs="Palatino" w:ascii="Palatino" w:hAnsi="Palatino"/>
          <w:sz w:val="22"/>
        </w:rPr>
      </w:r>
    </w:p>
    <w:p>
      <w:pPr>
        <w:pStyle w:val="Normal"/>
        <w:rPr/>
      </w:pPr>
      <w:r>
        <w:rPr>
          <w:rFonts w:cs="Palatino" w:ascii="Palatino" w:hAnsi="Palatino"/>
          <w:sz w:val="22"/>
        </w:rPr>
        <w:t>Not surprisingly, the Petition makes significant reference to the recent victories of SBC and Verizon in winning Pricing Flexibility for these services.</w:t>
      </w:r>
      <w:r>
        <w:rPr>
          <w:rStyle w:val="FootnoteCharacters"/>
          <w:rStyle w:val="FootnoteReference"/>
          <w:rFonts w:cs="Palatino" w:ascii="Palatino" w:hAnsi="Palatino"/>
          <w:sz w:val="22"/>
        </w:rPr>
        <w:footnoteReference w:id="6"/>
      </w:r>
      <w:r>
        <w:rPr>
          <w:rFonts w:cs="Palatino" w:ascii="Palatino" w:hAnsi="Palatino"/>
          <w:sz w:val="22"/>
        </w:rPr>
        <w:t xml:space="preserve">  They state in the Petition, ”the grant of pricing flexibility alone in diverse geographic markets alone should be sufficient to show that carriers are not impaired, not just in those wire centers but for the entire service.”  The ILECs contend that if these markets are so competitive the incumbent price restraint is unnecessary then there is no need for UNEs at artificially reduced prices.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 xml:space="preserve">In an odd reversal of logic, the RBOCs contend in the Petition that under Sec. 251 (c)(3) of the ’96 Act the Commission is required to impose restrictions on access to UNEs to further the goals of the Act.  They reiterate a past argument that the Act only intended UNEs to be used as a transitory measure to quickly establish new entrants and that the Commission has a responsibility to monitor CLEC development in order to correspondingly ease incumbent regulation.  In essence they are saying that removing access to high-capacity loops and transport will spur competition and investment by weaning “free riders” from their networks and by allowing true market-based pricing to prevail.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IMPACT ON EBS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 xml:space="preserve">Obviously the impact on EBS if the Petition were granted would be severe and strikes at the heart of our priority initiatives.  There would be little need for ETI and a CLEC strategy for local loop pricing if transport and access to high-capacity loops were removed from the UNE list.  EBS would also probably suffer higher local loop prices due to the subsequent demise of non-facilities-based CLECs who offer these services as a UNE-P provider.  Additionally, facilities-based CLECs would also suffer greatly since few have their own, completed loop architecture in many markets.  Often, their facilities are augmented by the use of UNEs (both transport and EELs) and passed off as their own infrastructure.  The ability of the RBOCs to cross-subsidize markets is tremendous and can also cause significant harm to competition in many local markets.  </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 xml:space="preserve">There is also a growing concern about facilities deployment that will be exacerbated by such a decision.  We know that the costs and barriers to build new fiber networks in cities have grown considerably (through onerous franchises, street-cut moratoriums, and building access restrictions) and with the current state of the capital markets new fiber projects will be difficult to launch.  Therefore further facilities-based competition may not arrive any time soon and current competition may actually diminish.  If the Commission were to grant the Petition then Sec. 253 issues become more critical than ever before.  </w:t>
      </w:r>
    </w:p>
    <w:p>
      <w:pPr>
        <w:pStyle w:val="Normal"/>
        <w:rPr>
          <w:rFonts w:ascii="Palatino" w:hAnsi="Palatino" w:cs="Palatino"/>
          <w:sz w:val="22"/>
        </w:rPr>
      </w:pPr>
      <w:r>
        <w:rPr>
          <w:rFonts w:cs="Palatino" w:ascii="Palatino" w:hAnsi="Palatino"/>
          <w:sz w:val="22"/>
        </w:rPr>
      </w:r>
    </w:p>
    <w:p>
      <w:pPr>
        <w:pStyle w:val="Normal"/>
        <w:rPr/>
      </w:pPr>
      <w:r>
        <w:rPr>
          <w:rFonts w:cs="Palatino" w:ascii="Palatino" w:hAnsi="Palatino"/>
          <w:sz w:val="22"/>
        </w:rPr>
        <w:t>That is not to say that all of the impacts will be bad.  For example, there may exist opportunities for EBS or EES (Facilities Solutions) to build strategic Metro connections that can compete with both CLECs and ILECs.  For example, most local loop circuits are currently purchased as entire loops.</w:t>
      </w:r>
      <w:r>
        <w:rPr>
          <w:rStyle w:val="FootnoteCharacters"/>
          <w:rStyle w:val="FootnoteReference"/>
          <w:rFonts w:cs="Palatino" w:ascii="Palatino" w:hAnsi="Palatino"/>
          <w:sz w:val="22"/>
        </w:rPr>
        <w:footnoteReference w:id="7"/>
      </w:r>
      <w:r>
        <w:rPr>
          <w:rFonts w:cs="Palatino" w:ascii="Palatino" w:hAnsi="Palatino"/>
          <w:sz w:val="22"/>
        </w:rPr>
        <w:t xml:space="preserve">  Currently Enron is investigating the possibilities of direct building to building solutions.</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However, for future market structure purposes alone the Petition (along with other RBOC efforts) is a negative development that will surely impede competition and bring further uncertainty and difficulty to the CLEC community.</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COURSE OF ACTION/RECOMMENDATION</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What we are seeing with this petition is part of a multi-faceted agenda from the RBOCs to shed unbundling requirements from the ’96 Telecom Act.  This agenda is being played out in the following ways:</w:t>
      </w:r>
    </w:p>
    <w:p>
      <w:pPr>
        <w:pStyle w:val="Normal"/>
        <w:numPr>
          <w:ilvl w:val="0"/>
          <w:numId w:val="3"/>
        </w:numPr>
        <w:rPr>
          <w:rFonts w:ascii="Palatino" w:hAnsi="Palatino" w:cs="Palatino"/>
          <w:sz w:val="22"/>
        </w:rPr>
      </w:pPr>
      <w:r>
        <w:rPr>
          <w:rFonts w:cs="Palatino" w:ascii="Palatino" w:hAnsi="Palatino"/>
          <w:sz w:val="22"/>
        </w:rPr>
        <w:t>Pricing Flexibility for Special Access and Dedicated Transport Services</w:t>
      </w:r>
    </w:p>
    <w:p>
      <w:pPr>
        <w:pStyle w:val="Normal"/>
        <w:numPr>
          <w:ilvl w:val="0"/>
          <w:numId w:val="3"/>
        </w:numPr>
        <w:rPr>
          <w:rFonts w:ascii="Palatino" w:hAnsi="Palatino" w:cs="Palatino"/>
          <w:sz w:val="22"/>
        </w:rPr>
      </w:pPr>
      <w:r>
        <w:rPr>
          <w:rFonts w:cs="Palatino" w:ascii="Palatino" w:hAnsi="Palatino"/>
          <w:sz w:val="22"/>
        </w:rPr>
        <w:t>Removal of Dedicated Transport and access to High-Capacity Loops from UNE list</w:t>
      </w:r>
    </w:p>
    <w:p>
      <w:pPr>
        <w:pStyle w:val="Normal"/>
        <w:numPr>
          <w:ilvl w:val="0"/>
          <w:numId w:val="3"/>
        </w:numPr>
        <w:rPr>
          <w:rFonts w:ascii="Palatino" w:hAnsi="Palatino" w:cs="Palatino"/>
          <w:sz w:val="22"/>
        </w:rPr>
      </w:pPr>
      <w:r>
        <w:rPr>
          <w:rFonts w:cs="Palatino" w:ascii="Palatino" w:hAnsi="Palatino"/>
          <w:sz w:val="22"/>
        </w:rPr>
        <w:t>Outright denial of the use of UNE combinations for dedicated transport or access services</w:t>
      </w:r>
    </w:p>
    <w:p>
      <w:pPr>
        <w:pStyle w:val="Normal"/>
        <w:numPr>
          <w:ilvl w:val="0"/>
          <w:numId w:val="3"/>
        </w:numPr>
        <w:rPr>
          <w:rFonts w:ascii="Palatino" w:hAnsi="Palatino" w:cs="Palatino"/>
          <w:sz w:val="22"/>
        </w:rPr>
      </w:pPr>
      <w:r>
        <w:rPr>
          <w:rFonts w:cs="Palatino" w:ascii="Palatino" w:hAnsi="Palatino"/>
          <w:sz w:val="22"/>
        </w:rPr>
        <w:t>Legislation allowing immediate entry into Inter-Lata data services</w:t>
      </w:r>
    </w:p>
    <w:p>
      <w:pPr>
        <w:pStyle w:val="Normal"/>
        <w:numPr>
          <w:ilvl w:val="0"/>
          <w:numId w:val="3"/>
        </w:numPr>
        <w:rPr>
          <w:rFonts w:ascii="Palatino" w:hAnsi="Palatino" w:cs="Palatino"/>
          <w:sz w:val="22"/>
        </w:rPr>
      </w:pPr>
      <w:r>
        <w:rPr>
          <w:rFonts w:cs="Palatino" w:ascii="Palatino" w:hAnsi="Palatino"/>
          <w:sz w:val="22"/>
        </w:rPr>
        <w:t>Renewed push for Sec. 271 approvals</w:t>
      </w:r>
    </w:p>
    <w:p>
      <w:pPr>
        <w:pStyle w:val="Normal"/>
        <w:numPr>
          <w:ilvl w:val="0"/>
          <w:numId w:val="3"/>
        </w:numPr>
        <w:rPr>
          <w:rFonts w:ascii="Palatino" w:hAnsi="Palatino" w:cs="Palatino"/>
          <w:sz w:val="22"/>
        </w:rPr>
      </w:pPr>
      <w:r>
        <w:rPr>
          <w:rFonts w:cs="Palatino" w:ascii="Palatino" w:hAnsi="Palatino"/>
          <w:sz w:val="22"/>
        </w:rPr>
        <w:t>“</w:t>
      </w:r>
      <w:r>
        <w:rPr>
          <w:rFonts w:cs="Palatino" w:ascii="Palatino" w:hAnsi="Palatino"/>
          <w:sz w:val="22"/>
        </w:rPr>
        <w:t>Sandbagging” the roll-out of advanced services in some markets (e.g., SBC’s hold up on Project Pronto in their Ameritech region)</w:t>
      </w:r>
    </w:p>
    <w:p>
      <w:pPr>
        <w:pStyle w:val="Normal"/>
        <w:rPr>
          <w:rFonts w:ascii="Palatino" w:hAnsi="Palatino" w:cs="Palatino"/>
          <w:sz w:val="22"/>
        </w:rPr>
      </w:pPr>
      <w:r>
        <w:rPr>
          <w:rFonts w:cs="Palatino" w:ascii="Palatino" w:hAnsi="Palatino"/>
          <w:sz w:val="22"/>
        </w:rPr>
      </w:r>
    </w:p>
    <w:p>
      <w:pPr>
        <w:pStyle w:val="Normal"/>
        <w:rPr>
          <w:rFonts w:ascii="Palatino" w:hAnsi="Palatino" w:cs="Palatino"/>
          <w:sz w:val="22"/>
        </w:rPr>
      </w:pPr>
      <w:r>
        <w:rPr>
          <w:rFonts w:cs="Palatino" w:ascii="Palatino" w:hAnsi="Palatino"/>
          <w:sz w:val="22"/>
        </w:rPr>
        <w:t>Unfortunately, the RBOC message may be a compelling one when set against the current backdrop of a Commission which has already largely deregulated access and transport pricing in most large markets and is poised to add two new commissioners who may be very sympathetic to ILECs.  Recommended steps for EBS GA should include the following:</w:t>
      </w:r>
    </w:p>
    <w:p>
      <w:pPr>
        <w:pStyle w:val="Normal"/>
        <w:numPr>
          <w:ilvl w:val="0"/>
          <w:numId w:val="2"/>
        </w:numPr>
        <w:tabs>
          <w:tab w:val="clear" w:pos="720"/>
          <w:tab w:val="left" w:pos="420" w:leader="none"/>
        </w:tabs>
        <w:ind w:hanging="360" w:start="420" w:end="0"/>
        <w:rPr>
          <w:rFonts w:ascii="Palatino" w:hAnsi="Palatino" w:cs="Palatino"/>
          <w:sz w:val="22"/>
        </w:rPr>
      </w:pPr>
      <w:r>
        <w:rPr>
          <w:rFonts w:cs="Palatino" w:ascii="Palatino" w:hAnsi="Palatino"/>
          <w:sz w:val="22"/>
        </w:rPr>
        <w:t>Continue due diligence into potential impact and opportunities from a possible adverse decision (consult commercial groups)</w:t>
      </w:r>
    </w:p>
    <w:p>
      <w:pPr>
        <w:pStyle w:val="Normal"/>
        <w:numPr>
          <w:ilvl w:val="0"/>
          <w:numId w:val="2"/>
        </w:numPr>
        <w:tabs>
          <w:tab w:val="clear" w:pos="720"/>
          <w:tab w:val="left" w:pos="420" w:leader="none"/>
        </w:tabs>
        <w:ind w:hanging="360" w:start="420" w:end="0"/>
        <w:rPr>
          <w:rFonts w:ascii="Palatino" w:hAnsi="Palatino" w:cs="Palatino"/>
          <w:sz w:val="22"/>
        </w:rPr>
      </w:pPr>
      <w:r>
        <w:rPr>
          <w:rFonts w:cs="Palatino" w:ascii="Palatino" w:hAnsi="Palatino"/>
          <w:sz w:val="22"/>
        </w:rPr>
        <w:t>Engage with the FCC, participation in this proceeding</w:t>
      </w:r>
    </w:p>
    <w:p>
      <w:pPr>
        <w:pStyle w:val="Normal"/>
        <w:numPr>
          <w:ilvl w:val="0"/>
          <w:numId w:val="2"/>
        </w:numPr>
        <w:tabs>
          <w:tab w:val="clear" w:pos="720"/>
          <w:tab w:val="left" w:pos="420" w:leader="none"/>
        </w:tabs>
        <w:ind w:hanging="360" w:start="420" w:end="0"/>
        <w:rPr>
          <w:rFonts w:ascii="Palatino" w:hAnsi="Palatino" w:cs="Palatino"/>
          <w:sz w:val="22"/>
        </w:rPr>
      </w:pPr>
      <w:r>
        <w:rPr>
          <w:rFonts w:cs="Palatino" w:ascii="Palatino" w:hAnsi="Palatino"/>
          <w:sz w:val="22"/>
        </w:rPr>
        <w:t>Collaborate with CompTel, ALTS, and other potential allies (AT&amp;T, Worldcom)</w:t>
      </w:r>
    </w:p>
    <w:p>
      <w:pPr>
        <w:pStyle w:val="Normal"/>
        <w:numPr>
          <w:ilvl w:val="0"/>
          <w:numId w:val="2"/>
        </w:numPr>
        <w:tabs>
          <w:tab w:val="clear" w:pos="720"/>
          <w:tab w:val="left" w:pos="420" w:leader="none"/>
        </w:tabs>
        <w:ind w:hanging="360" w:start="420" w:end="0"/>
        <w:rPr>
          <w:rFonts w:ascii="Palatino" w:hAnsi="Palatino" w:cs="Palatino"/>
          <w:sz w:val="22"/>
        </w:rPr>
      </w:pPr>
      <w:r>
        <w:rPr>
          <w:rFonts w:cs="Palatino" w:ascii="Palatino" w:hAnsi="Palatino"/>
          <w:sz w:val="22"/>
        </w:rPr>
        <w:t>Hone external messaging, policy engagement with Congress, NARUC, state PUCs</w:t>
      </w:r>
    </w:p>
    <w:p>
      <w:pPr>
        <w:pStyle w:val="Normal"/>
        <w:numPr>
          <w:ilvl w:val="0"/>
          <w:numId w:val="2"/>
        </w:numPr>
        <w:tabs>
          <w:tab w:val="clear" w:pos="720"/>
          <w:tab w:val="left" w:pos="420" w:leader="none"/>
        </w:tabs>
        <w:ind w:hanging="360" w:start="420" w:end="0"/>
        <w:rPr>
          <w:rFonts w:ascii="Palatino" w:hAnsi="Palatino" w:cs="Palatino"/>
          <w:sz w:val="22"/>
        </w:rPr>
      </w:pPr>
      <w:r>
        <w:rPr>
          <w:rFonts w:cs="Palatino" w:ascii="Palatino" w:hAnsi="Palatino"/>
          <w:sz w:val="22"/>
        </w:rPr>
        <w:t>Economic analysis of industry competition/adverse impact of Petition</w:t>
      </w:r>
    </w:p>
    <w:p>
      <w:pPr>
        <w:pStyle w:val="Normal"/>
        <w:numPr>
          <w:ilvl w:val="0"/>
          <w:numId w:val="2"/>
        </w:numPr>
        <w:tabs>
          <w:tab w:val="clear" w:pos="720"/>
          <w:tab w:val="left" w:pos="420" w:leader="none"/>
        </w:tabs>
        <w:ind w:hanging="360" w:start="420" w:end="0"/>
        <w:rPr>
          <w:rFonts w:ascii="Palatino" w:hAnsi="Palatino" w:cs="Palatino"/>
          <w:sz w:val="22"/>
        </w:rPr>
      </w:pPr>
      <w:r>
        <w:rPr>
          <w:rFonts w:cs="Palatino" w:ascii="Palatino" w:hAnsi="Palatino"/>
          <w:sz w:val="22"/>
        </w:rPr>
        <w:t>Continue aggressive ICA adoption/negotiation</w:t>
      </w:r>
    </w:p>
    <w:p>
      <w:pPr>
        <w:pStyle w:val="Normal"/>
        <w:numPr>
          <w:ilvl w:val="0"/>
          <w:numId w:val="2"/>
        </w:numPr>
        <w:tabs>
          <w:tab w:val="clear" w:pos="720"/>
          <w:tab w:val="left" w:pos="420" w:leader="none"/>
        </w:tabs>
        <w:ind w:hanging="360" w:start="420" w:end="0"/>
        <w:rPr>
          <w:rFonts w:ascii="Palatino" w:hAnsi="Palatino" w:cs="Palatino"/>
          <w:sz w:val="22"/>
        </w:rPr>
      </w:pPr>
      <w:r>
        <w:rPr>
          <w:rFonts w:cs="Palatino" w:ascii="Palatino" w:hAnsi="Palatino"/>
          <w:sz w:val="22"/>
        </w:rPr>
        <w:t>Advise on new infrastructure deployment</w:t>
      </w:r>
    </w:p>
    <w:p>
      <w:pPr>
        <w:pStyle w:val="Normal"/>
        <w:rPr>
          <w:rFonts w:ascii="Palatino" w:hAnsi="Palatino" w:cs="Palatino"/>
          <w:sz w:val="22"/>
        </w:rPr>
      </w:pPr>
      <w:r>
        <w:rPr>
          <w:rFonts w:cs="Palatino" w:ascii="Palatino" w:hAnsi="Palatino"/>
          <w:sz w:val="22"/>
        </w:rPr>
      </w:r>
    </w:p>
    <w:p>
      <w:pPr>
        <w:pStyle w:val="Normal"/>
        <w:numPr>
          <w:ilvl w:val="0"/>
          <w:numId w:val="3"/>
        </w:numPr>
        <w:rPr>
          <w:rFonts w:ascii="Palatino" w:hAnsi="Palatino" w:cs="Palatino"/>
          <w:sz w:val="22"/>
        </w:rPr>
      </w:pPr>
      <w:r>
        <w:rPr>
          <w:rFonts w:cs="Palatino" w:ascii="Palatino" w:hAnsi="Palatino"/>
          <w:sz w:val="22"/>
        </w:rPr>
        <w:t xml:space="preserve">Hopefully these thoughts will get us started toward a comprehensive strategy to avoid/mitigate the potential risks that this Petition creates.  I appreciate any thoughts or feedback you may have.  sdb </w:t>
      </w:r>
    </w:p>
    <w:sectPr>
      <w:headerReference w:type="default" r:id="rId3"/>
      <w:footerReference w:type="default" r:id="rId4"/>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Fonts w:cs="Palatino" w:ascii="Palatino" w:hAnsi="Palatino"/>
        <w:color w:val="FF0000"/>
      </w:rPr>
      <w:t>Confidential Interoffice Distribution Only</w:t>
    </w:r>
    <w:r>
      <w:rPr/>
      <w:tab/>
    </w:r>
    <w:r>
      <w:rPr>
        <w:rStyle w:val="PageNumber"/>
        <w:rFonts w:cs="Palatino" w:ascii="Palatino" w:hAnsi="Palatino"/>
      </w:rPr>
      <w:fldChar w:fldCharType="begin"/>
    </w:r>
    <w:r>
      <w:rPr>
        <w:rStyle w:val="PageNumber"/>
        <w:rFonts w:cs="Palatino" w:ascii="Palatino" w:hAnsi="Palatino"/>
      </w:rPr>
      <w:instrText xml:space="preserve"> PAGE </w:instrText>
    </w:r>
    <w:r>
      <w:rPr>
        <w:rStyle w:val="PageNumber"/>
        <w:rFonts w:cs="Palatino" w:ascii="Palatino" w:hAnsi="Palatino"/>
      </w:rPr>
      <w:fldChar w:fldCharType="separate"/>
    </w:r>
    <w:r>
      <w:rPr>
        <w:rStyle w:val="PageNumber"/>
        <w:rFonts w:cs="Palatino" w:ascii="Palatino" w:hAnsi="Palatino"/>
      </w:rPr>
      <w:t>3</w:t>
    </w:r>
    <w:r>
      <w:rPr>
        <w:rStyle w:val="PageNumber"/>
        <w:rFonts w:cs="Palatino" w:ascii="Palatino" w:hAnsi="Palatino"/>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See</w:t>
      </w:r>
      <w:r>
        <w:rPr/>
        <w:t xml:space="preserve"> CC Docket No. 96-98</w:t>
      </w:r>
    </w:p>
  </w:footnote>
  <w:footnote w:id="3">
    <w:p>
      <w:pPr>
        <w:pStyle w:val="FootnoteText"/>
        <w:rPr/>
      </w:pPr>
      <w:r>
        <w:rPr>
          <w:rStyle w:val="FootnoteCharacters"/>
        </w:rPr>
        <w:footnoteRef/>
      </w:r>
      <w:r>
        <w:rPr/>
        <w:t xml:space="preserve"> </w:t>
      </w:r>
      <w:r>
        <w:rPr/>
        <w:t>Public Notice, “Comments Sought on the Use of Unbundled Network Elements to Provide Exchange Access Service,” DA 01-169 (Jan.24, 2001)</w:t>
      </w:r>
    </w:p>
  </w:footnote>
  <w:footnote w:id="4">
    <w:p>
      <w:pPr>
        <w:pStyle w:val="FootnoteText"/>
        <w:rPr/>
      </w:pPr>
      <w:r>
        <w:rPr>
          <w:rStyle w:val="FootnoteCharacters"/>
        </w:rPr>
        <w:footnoteRef/>
      </w:r>
      <w:r>
        <w:rPr/>
        <w:t xml:space="preserve"> </w:t>
      </w:r>
      <w:r>
        <w:rPr/>
        <w:t xml:space="preserve">Comments of SBC and Verizon (April 5, 2001) CC Docket No. 96-98 </w:t>
      </w:r>
    </w:p>
  </w:footnote>
  <w:footnote w:id="5">
    <w:p>
      <w:pPr>
        <w:pStyle w:val="FootnoteText"/>
        <w:rPr/>
      </w:pPr>
      <w:r>
        <w:rPr>
          <w:rStyle w:val="FootnoteCharacters"/>
        </w:rPr>
        <w:footnoteRef/>
      </w:r>
      <w:r>
        <w:rPr/>
        <w:t xml:space="preserve"> </w:t>
      </w:r>
      <w:r>
        <w:rPr>
          <w:i/>
        </w:rPr>
        <w:t>See</w:t>
      </w:r>
      <w:r>
        <w:rPr/>
        <w:t xml:space="preserve"> “Competition for Special Access Service, High-Capacity Loops, and Interoffice Transport,” submitted by the United States Telecom Association (April 5, 2001) </w:t>
      </w:r>
    </w:p>
  </w:footnote>
  <w:footnote w:id="6">
    <w:p>
      <w:pPr>
        <w:pStyle w:val="FootnoteText"/>
        <w:rPr/>
      </w:pPr>
      <w:r>
        <w:rPr>
          <w:rStyle w:val="FootnoteCharacters"/>
        </w:rPr>
        <w:footnoteRef/>
      </w:r>
      <w:r>
        <w:rPr/>
        <w:t xml:space="preserve"> </w:t>
      </w:r>
      <w:r>
        <w:rPr>
          <w:i/>
        </w:rPr>
        <w:t>See</w:t>
      </w:r>
      <w:r>
        <w:rPr/>
        <w:t xml:space="preserve"> internal memorandum “Analysis of FCC Pricing Flexibility Orders,” March 30, 2001</w:t>
      </w:r>
    </w:p>
  </w:footnote>
  <w:footnote w:id="7">
    <w:p>
      <w:pPr>
        <w:pStyle w:val="FootnoteText"/>
        <w:rPr/>
      </w:pPr>
      <w:r>
        <w:rPr>
          <w:rStyle w:val="FootnoteCharacters"/>
        </w:rPr>
        <w:footnoteRef/>
      </w:r>
      <w:r>
        <w:rPr/>
        <w:t xml:space="preserve"> </w:t>
      </w:r>
      <w:r>
        <w:rPr/>
        <w:t>In order to get from one building to another, many carriers must purchase capacity on an entire ring so as not to strand fiber.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Palatino" w:hAnsi="Palatino" w:cs="Palatino"/>
      </w:rPr>
    </w:pPr>
    <w:r>
      <w:rPr>
        <w:rFonts w:cs="Palatino" w:ascii="Palatino" w:hAnsi="Palatino"/>
      </w:rPr>
      <w:t>Interoffice Memo</w:t>
    </w:r>
  </w:p>
  <w:p>
    <w:pPr>
      <w:pStyle w:val="Header"/>
      <w:jc w:val="center"/>
      <w:rPr>
        <w:rFonts w:ascii="Palatino" w:hAnsi="Palatino" w:cs="Palatino"/>
        <w:color w:val="FF0000"/>
      </w:rPr>
    </w:pPr>
    <w:r>
      <w:rPr>
        <w:rFonts w:cs="Palatino" w:ascii="Palatino" w:hAnsi="Palatino"/>
        <w:color w:val="FF0000"/>
      </w:rPr>
      <w:t>Confidential Interoffice Distribution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3"/>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rFonts w:ascii="Palatino" w:hAnsi="Palatino" w:cs="Palatino"/>
      <w:b/>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MessageHeaderLabel">
    <w:name w:val="Message Header Label"/>
    <w:qFormat/>
    <w:rPr>
      <w:rFonts w:ascii="Arial Black" w:hAnsi="Arial Black" w:cs="Arial Black"/>
      <w:spacing w:val="-10"/>
      <w:sz w:val="18"/>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2001-04-16T14:26:00Z</dcterms:created>
  <dc:creator>karen_huang</dc:creator>
  <dc:description/>
  <dc:language>en-CA</dc:language>
  <cp:lastModifiedBy>karen_huang</cp:lastModifiedBy>
  <cp:lastPrinted>2001-03-22T11:50:00Z</cp:lastPrinted>
  <dcterms:modified xsi:type="dcterms:W3CDTF">2001-04-16T14:26:00Z</dcterms:modified>
  <cp:revision>2</cp:revision>
  <dc:subject/>
  <dc:title/>
</cp:coreProperties>
</file>