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ind w:hanging="0" w:start="0"/>
        <w:outlineLvl w:val="0"/>
        <w:rPr>
          <w:rFonts w:ascii="Times New Roman" w:hAnsi="Times New Roman"/>
          <w:b/>
          <w:sz w:val="36"/>
        </w:rPr>
      </w:pPr>
      <w:r>
        <w:rPr>
          <w:b/>
          <w:sz w:val="36"/>
        </w:rPr>
        <w:t>RATING AGENCY MEETINGS</w:t>
      </w:r>
    </w:p>
    <w:p>
      <w:pPr>
        <w:pStyle w:val="Normal"/>
        <w:bidi w:val="0"/>
        <w:ind w:hanging="0" w:start="0" w:end="0"/>
        <w:jc w:val="center"/>
        <w:rPr>
          <w:b/>
        </w:rPr>
      </w:pPr>
      <w:r>
        <w:rPr>
          <w:b/>
        </w:rPr>
        <w:t>Talking Points Memorandum</w:t>
      </w:r>
    </w:p>
    <w:p>
      <w:pPr>
        <w:pStyle w:val="Normal"/>
        <w:bidi w:val="0"/>
        <w:ind w:hanging="0" w:start="0" w:end="0"/>
        <w:jc w:val="center"/>
        <w:rPr>
          <w:b/>
        </w:rPr>
      </w:pPr>
      <w:r>
        <w:rPr>
          <w:b/>
        </w:rPr>
        <w:t>For Internal Distribution Only</w:t>
      </w:r>
    </w:p>
    <w:p>
      <w:pPr>
        <w:pStyle w:val="Normal"/>
        <w:bidi w:val="0"/>
        <w:ind w:hanging="0" w:start="0" w:end="0"/>
        <w:jc w:val="center"/>
        <w:rPr>
          <w:b/>
        </w:rPr>
      </w:pPr>
      <w:r>
        <w:rPr>
          <w:b/>
        </w:rPr>
        <w:t>October 26, 2000</w:t>
      </w:r>
    </w:p>
    <w:p>
      <w:pPr>
        <w:pStyle w:val="Normal"/>
        <w:bidi w:val="0"/>
        <w:ind w:hanging="0" w:start="0" w:end="0"/>
        <w:jc w:val="center"/>
        <w:rPr/>
      </w:pPr>
      <w:r>
        <w:rPr/>
      </w:r>
    </w:p>
    <w:p>
      <w:pPr>
        <w:pStyle w:val="Normal"/>
        <w:bidi w:val="0"/>
        <w:ind w:hanging="0" w:start="0" w:end="0"/>
        <w:jc w:val="center"/>
        <w:rPr/>
      </w:pPr>
      <w:r>
        <w:rPr/>
      </w:r>
    </w:p>
    <w:p>
      <w:pPr>
        <w:pStyle w:val="Heading1"/>
        <w:numPr>
          <w:ilvl w:val="0"/>
          <w:numId w:val="0"/>
        </w:numPr>
        <w:bidi w:val="0"/>
        <w:ind w:hanging="0" w:start="0"/>
        <w:outlineLvl w:val="0"/>
        <w:rPr>
          <w:rFonts w:ascii="Times New Roman" w:hAnsi="Times New Roman"/>
          <w:b/>
          <w:sz w:val="32"/>
        </w:rPr>
      </w:pPr>
      <w:r>
        <w:rPr>
          <w:b/>
          <w:sz w:val="32"/>
        </w:rPr>
        <w:t>Enron Update</w:t>
      </w:r>
    </w:p>
    <w:p>
      <w:pPr>
        <w:pStyle w:val="Normal"/>
        <w:bidi w:val="0"/>
        <w:ind w:hanging="0" w:start="0" w:end="0"/>
        <w:jc w:val="start"/>
        <w:rPr/>
      </w:pPr>
      <w:r>
        <w:rPr/>
      </w:r>
    </w:p>
    <w:p>
      <w:pPr>
        <w:pStyle w:val="Heading2"/>
        <w:numPr>
          <w:ilvl w:val="0"/>
          <w:numId w:val="1"/>
        </w:numPr>
        <w:bidi w:val="0"/>
        <w:ind w:hanging="270" w:start="270" w:end="0"/>
        <w:jc w:val="start"/>
        <w:outlineLvl w:val="1"/>
        <w:rPr>
          <w:rFonts w:ascii="Times New Roman" w:hAnsi="Times New Roman"/>
          <w:sz w:val="24"/>
        </w:rPr>
      </w:pPr>
      <w:r>
        <w:rPr>
          <w:b/>
          <w:sz w:val="24"/>
        </w:rPr>
        <w:t>Ratio Update</w:t>
      </w:r>
      <w:r>
        <w:rPr>
          <w:sz w:val="24"/>
        </w:rPr>
        <w:t xml:space="preserve"> – Enron currently in position to substantially achieve rating agency expectations for 2000 key financial ratios:</w:t>
      </w:r>
    </w:p>
    <w:p>
      <w:pPr>
        <w:pStyle w:val="Heading8"/>
        <w:bidi w:val="0"/>
        <w:jc w:val="start"/>
        <w:rPr>
          <w:rFonts w:ascii="Times New Roman" w:hAnsi="Times New Roman"/>
        </w:rPr>
      </w:pPr>
      <w:r>
        <w:rPr/>
        <w:t>Target</w:t>
        <w:tab/>
        <w:tab/>
        <w:t>Proforma</w:t>
      </w:r>
    </w:p>
    <w:p>
      <w:pPr>
        <w:pStyle w:val="Normal"/>
        <w:bidi w:val="0"/>
        <w:ind w:hanging="0" w:start="0" w:end="0"/>
        <w:jc w:val="start"/>
        <w:rPr/>
      </w:pPr>
      <w:r>
        <w:rPr/>
        <w:tab/>
        <w:t>Funds Flow to Interest Expense</w:t>
        <w:tab/>
        <w:tab/>
        <w:tab/>
        <w:t xml:space="preserve"> 4.03x</w:t>
        <w:tab/>
        <w:tab/>
        <w:t xml:space="preserve">  4.03x</w:t>
      </w:r>
    </w:p>
    <w:p>
      <w:pPr>
        <w:pStyle w:val="Normal"/>
        <w:bidi w:val="0"/>
        <w:ind w:hanging="0" w:start="0" w:end="0"/>
        <w:jc w:val="start"/>
        <w:rPr/>
      </w:pPr>
      <w:r>
        <w:rPr/>
        <w:tab/>
        <w:t>Pre-Tax Interest Coverage</w:t>
        <w:tab/>
        <w:tab/>
        <w:tab/>
        <w:tab/>
        <w:t xml:space="preserve"> 2.78x</w:t>
        <w:tab/>
        <w:tab/>
        <w:t xml:space="preserve">   2.29x</w:t>
      </w:r>
    </w:p>
    <w:p>
      <w:pPr>
        <w:pStyle w:val="Normal"/>
        <w:bidi w:val="0"/>
        <w:ind w:hanging="0" w:start="0" w:end="0"/>
        <w:jc w:val="start"/>
        <w:rPr/>
      </w:pPr>
      <w:r>
        <w:rPr/>
        <w:tab/>
        <w:t>Balance Sheet Debt to Balance Sheet Capital</w:t>
        <w:tab/>
        <w:tab/>
        <w:t>40.7%</w:t>
        <w:tab/>
        <w:tab/>
        <w:t xml:space="preserve">  40.6%</w:t>
      </w:r>
    </w:p>
    <w:p>
      <w:pPr>
        <w:pStyle w:val="Normal"/>
        <w:bidi w:val="0"/>
        <w:ind w:hanging="0" w:start="0" w:end="0"/>
        <w:jc w:val="start"/>
        <w:rPr/>
      </w:pPr>
      <w:r>
        <w:rPr/>
        <w:tab/>
        <w:t>Total Obligations to Total Capital</w:t>
        <w:tab/>
        <w:tab/>
        <w:tab/>
        <w:t>42.3%</w:t>
        <w:tab/>
        <w:tab/>
        <w:t xml:space="preserve">  43.4%</w:t>
      </w:r>
    </w:p>
    <w:p>
      <w:pPr>
        <w:pStyle w:val="Normal"/>
        <w:bidi w:val="0"/>
        <w:ind w:hanging="0" w:start="0" w:end="0"/>
        <w:jc w:val="start"/>
        <w:rPr/>
      </w:pPr>
      <w:r>
        <w:rPr/>
        <w:tab/>
        <w:t>Funds Flow to Total Obligations</w:t>
        <w:tab/>
        <w:tab/>
        <w:tab/>
        <w:t>24.5%</w:t>
        <w:tab/>
        <w:tab/>
        <w:t xml:space="preserve">  25.5%</w:t>
      </w:r>
    </w:p>
    <w:p>
      <w:pPr>
        <w:pStyle w:val="Heading2"/>
        <w:numPr>
          <w:ilvl w:val="0"/>
          <w:numId w:val="0"/>
        </w:numPr>
        <w:bidi w:val="0"/>
        <w:ind w:hanging="270" w:start="270"/>
        <w:jc w:val="start"/>
        <w:outlineLvl w:val="1"/>
        <w:rPr>
          <w:rFonts w:ascii="Times New Roman" w:hAnsi="Times New Roman"/>
          <w:sz w:val="24"/>
        </w:rPr>
      </w:pPr>
      <w:r>
        <w:rPr>
          <w:sz w:val="24"/>
        </w:rPr>
      </w:r>
    </w:p>
    <w:p>
      <w:pPr>
        <w:pStyle w:val="Heading2"/>
        <w:numPr>
          <w:ilvl w:val="0"/>
          <w:numId w:val="1"/>
        </w:numPr>
        <w:bidi w:val="0"/>
        <w:ind w:hanging="270" w:start="270" w:end="0"/>
        <w:jc w:val="start"/>
        <w:outlineLvl w:val="1"/>
        <w:rPr>
          <w:rFonts w:ascii="Times New Roman" w:hAnsi="Times New Roman"/>
          <w:sz w:val="24"/>
        </w:rPr>
      </w:pPr>
      <w:r>
        <w:rPr>
          <w:b/>
          <w:sz w:val="24"/>
        </w:rPr>
        <w:t xml:space="preserve">Portland General Sale Pending - </w:t>
      </w:r>
      <w:r>
        <w:rPr>
          <w:sz w:val="24"/>
        </w:rPr>
        <w:t xml:space="preserve">$1.0B in debt will be assumed by Sierra Pacific and $1.6B in cash will be paid to Enron upon the financial close of the Portland General sale.  Anticipated closing date is February 2001.  </w:t>
      </w:r>
    </w:p>
    <w:p>
      <w:pPr>
        <w:pStyle w:val="Heading2"/>
        <w:numPr>
          <w:ilvl w:val="0"/>
          <w:numId w:val="1"/>
        </w:numPr>
        <w:bidi w:val="0"/>
        <w:ind w:hanging="270" w:start="270" w:end="0"/>
        <w:jc w:val="start"/>
        <w:outlineLvl w:val="1"/>
        <w:rPr>
          <w:rFonts w:ascii="Times New Roman" w:hAnsi="Times New Roman"/>
          <w:sz w:val="24"/>
        </w:rPr>
      </w:pPr>
      <w:r>
        <w:rPr>
          <w:b/>
          <w:sz w:val="24"/>
        </w:rPr>
        <w:t xml:space="preserve">Announced Asset Divestiture Plan – </w:t>
      </w:r>
      <w:r>
        <w:rPr>
          <w:sz w:val="24"/>
        </w:rPr>
        <w:t>Enron currently negotiating the sale of South American business operations for approximately $3.2B.  Anticipated closing date is March 2001.  Additional asset sales in 2001 may result in proceeds in excess of $5B.</w:t>
      </w:r>
    </w:p>
    <w:p>
      <w:pPr>
        <w:pStyle w:val="Heading2"/>
        <w:numPr>
          <w:ilvl w:val="0"/>
          <w:numId w:val="1"/>
        </w:numPr>
        <w:bidi w:val="0"/>
        <w:ind w:hanging="270" w:start="270" w:end="0"/>
        <w:jc w:val="start"/>
        <w:outlineLvl w:val="1"/>
        <w:rPr>
          <w:rFonts w:ascii="Times New Roman" w:hAnsi="Times New Roman"/>
          <w:sz w:val="24"/>
        </w:rPr>
      </w:pPr>
      <w:r>
        <w:rPr>
          <w:b/>
          <w:sz w:val="24"/>
        </w:rPr>
        <w:t>Conclusion</w:t>
      </w:r>
      <w:r>
        <w:rPr>
          <w:sz w:val="24"/>
        </w:rPr>
        <w:t xml:space="preserve"> –Asset sale proceeds realized during the first quarter of 2001 to provide Enron with tremendous flexibility to restructure balance sheet.  Enron management provided with opportunity to dramatically reduce leverage.  Board level discussions about proceeds allocation ongoing.</w:t>
      </w:r>
    </w:p>
    <w:p>
      <w:pPr>
        <w:pStyle w:val="Normal"/>
        <w:bidi w:val="0"/>
        <w:ind w:hanging="0" w:start="0" w:end="0"/>
        <w:jc w:val="start"/>
        <w:rPr>
          <w:sz w:val="28"/>
        </w:rPr>
      </w:pPr>
      <w:r>
        <w:rPr>
          <w:sz w:val="28"/>
        </w:rPr>
      </w:r>
    </w:p>
    <w:p>
      <w:pPr>
        <w:pStyle w:val="Normal"/>
        <w:bidi w:val="0"/>
        <w:ind w:hanging="0" w:start="0" w:end="0"/>
        <w:jc w:val="start"/>
        <w:rPr>
          <w:sz w:val="28"/>
        </w:rPr>
      </w:pPr>
      <w:r>
        <w:rPr>
          <w:sz w:val="28"/>
        </w:rPr>
      </w:r>
    </w:p>
    <w:p>
      <w:pPr>
        <w:pStyle w:val="Normal"/>
        <w:bidi w:val="0"/>
        <w:ind w:hanging="0" w:start="0" w:end="0"/>
        <w:jc w:val="center"/>
        <w:rPr>
          <w:sz w:val="28"/>
        </w:rPr>
      </w:pPr>
      <w:r>
        <w:rPr>
          <w:b/>
          <w:sz w:val="32"/>
        </w:rPr>
        <w:t>Azurix Situation Overview</w:t>
      </w:r>
    </w:p>
    <w:p>
      <w:pPr>
        <w:pStyle w:val="Normal"/>
        <w:bidi w:val="0"/>
        <w:ind w:hanging="0" w:start="0" w:end="0"/>
        <w:jc w:val="start"/>
        <w:rPr>
          <w:sz w:val="28"/>
        </w:rPr>
      </w:pPr>
      <w:r>
        <w:rPr>
          <w:sz w:val="28"/>
        </w:rPr>
      </w:r>
    </w:p>
    <w:p>
      <w:pPr>
        <w:pStyle w:val="Heading2"/>
        <w:numPr>
          <w:ilvl w:val="0"/>
          <w:numId w:val="1"/>
        </w:numPr>
        <w:bidi w:val="0"/>
        <w:ind w:hanging="270" w:start="270" w:end="0"/>
        <w:jc w:val="start"/>
        <w:outlineLvl w:val="1"/>
        <w:rPr>
          <w:rFonts w:ascii="Times New Roman" w:hAnsi="Times New Roman"/>
          <w:sz w:val="24"/>
        </w:rPr>
      </w:pPr>
      <w:r>
        <w:rPr>
          <w:b/>
          <w:sz w:val="24"/>
        </w:rPr>
        <w:t>Depressed Stock Price</w:t>
      </w:r>
      <w:r>
        <w:rPr>
          <w:sz w:val="24"/>
        </w:rPr>
        <w:t xml:space="preserve"> - Azurix stock price of $3.50 (at 10/26/00) represents an 80% decline from June 1999 IPO price of $19 per share.</w:t>
      </w:r>
    </w:p>
    <w:p>
      <w:pPr>
        <w:pStyle w:val="Heading2"/>
        <w:numPr>
          <w:ilvl w:val="0"/>
          <w:numId w:val="1"/>
        </w:numPr>
        <w:bidi w:val="0"/>
        <w:ind w:hanging="270" w:start="270" w:end="0"/>
        <w:jc w:val="start"/>
        <w:outlineLvl w:val="1"/>
        <w:rPr>
          <w:rFonts w:ascii="Times New Roman" w:hAnsi="Times New Roman"/>
          <w:sz w:val="24"/>
        </w:rPr>
      </w:pPr>
      <w:r>
        <w:rPr>
          <w:b/>
          <w:sz w:val="24"/>
        </w:rPr>
        <w:t>Business Strategy Revision</w:t>
      </w:r>
      <w:r>
        <w:rPr>
          <w:sz w:val="24"/>
        </w:rPr>
        <w:t xml:space="preserve"> – Stock price decline primarily associated with earnings issues from slower than anticipated growth in the privatization of water utilities.  Revised focus to services business which has slower growth opportunities.</w:t>
      </w:r>
    </w:p>
    <w:p>
      <w:pPr>
        <w:pStyle w:val="Heading2"/>
        <w:numPr>
          <w:ilvl w:val="0"/>
          <w:numId w:val="1"/>
        </w:numPr>
        <w:bidi w:val="0"/>
        <w:ind w:hanging="270" w:start="270" w:end="0"/>
        <w:jc w:val="start"/>
        <w:outlineLvl w:val="1"/>
        <w:rPr>
          <w:rFonts w:ascii="Times New Roman" w:hAnsi="Times New Roman"/>
          <w:sz w:val="24"/>
        </w:rPr>
      </w:pPr>
      <w:r>
        <w:rPr>
          <w:b/>
          <w:sz w:val="24"/>
        </w:rPr>
        <w:t>Asset Value Exceeds Aggregate Debt</w:t>
      </w:r>
      <w:r>
        <w:rPr>
          <w:sz w:val="24"/>
        </w:rPr>
        <w:t xml:space="preserve"> – Wessex Water Ltd. with 2000 RAB of $1,786MM times and $90MM in 2000 capex [plus value of other assets] has sufficient asset value to cover debt.</w:t>
      </w:r>
    </w:p>
    <w:p>
      <w:pPr>
        <w:pStyle w:val="Heading2"/>
        <w:numPr>
          <w:ilvl w:val="0"/>
          <w:numId w:val="1"/>
        </w:numPr>
        <w:bidi w:val="0"/>
        <w:ind w:hanging="270" w:start="270" w:end="0"/>
        <w:jc w:val="start"/>
        <w:outlineLvl w:val="1"/>
        <w:rPr>
          <w:rFonts w:ascii="Times New Roman" w:hAnsi="Times New Roman"/>
          <w:sz w:val="24"/>
        </w:rPr>
      </w:pPr>
      <w:r>
        <w:rPr>
          <w:b/>
          <w:sz w:val="24"/>
        </w:rPr>
        <w:t>Liquidity Being Preserved</w:t>
      </w:r>
      <w:r>
        <w:rPr>
          <w:sz w:val="24"/>
        </w:rPr>
        <w:t xml:space="preserve"> – Overhead reductions coupled with reduced capital expenditures ensure sufficient liquidity is available for the next 20-24 months.</w:t>
      </w:r>
    </w:p>
    <w:p>
      <w:pPr>
        <w:pStyle w:val="Heading2"/>
        <w:numPr>
          <w:ilvl w:val="0"/>
          <w:numId w:val="0"/>
        </w:numPr>
        <w:bidi w:val="0"/>
        <w:ind w:hanging="270" w:start="270"/>
        <w:jc w:val="start"/>
        <w:outlineLvl w:val="1"/>
        <w:rPr>
          <w:rFonts w:ascii="Times New Roman" w:hAnsi="Times New Roman"/>
          <w:sz w:val="28"/>
        </w:rPr>
      </w:pPr>
      <w:r>
        <w:rPr>
          <w:sz w:val="28"/>
        </w:rPr>
      </w:r>
    </w:p>
    <w:p>
      <w:pPr>
        <w:pStyle w:val="Normal"/>
        <w:bidi w:val="0"/>
        <w:ind w:hanging="0" w:start="0" w:end="0"/>
        <w:jc w:val="start"/>
        <w:rPr/>
      </w:pPr>
      <w:r>
        <w:rPr/>
      </w:r>
    </w:p>
    <w:p>
      <w:pPr>
        <w:pStyle w:val="Normal"/>
        <w:bidi w:val="0"/>
        <w:ind w:hanging="0" w:start="0" w:end="0"/>
        <w:jc w:val="start"/>
        <w:rPr/>
      </w:pPr>
      <w:r>
        <w:rPr/>
      </w:r>
    </w:p>
    <w:p>
      <w:pPr>
        <w:pStyle w:val="Heading1"/>
        <w:numPr>
          <w:ilvl w:val="0"/>
          <w:numId w:val="0"/>
        </w:numPr>
        <w:bidi w:val="0"/>
        <w:ind w:hanging="0" w:start="0"/>
        <w:outlineLvl w:val="0"/>
        <w:rPr>
          <w:rFonts w:ascii="Times New Roman" w:hAnsi="Times New Roman"/>
          <w:b/>
          <w:sz w:val="32"/>
        </w:rPr>
      </w:pPr>
      <w:r>
        <w:rPr>
          <w:b/>
          <w:sz w:val="32"/>
        </w:rPr>
        <w:t>Proposed Enron Action</w:t>
      </w:r>
    </w:p>
    <w:p>
      <w:pPr>
        <w:pStyle w:val="Normal"/>
        <w:bidi w:val="0"/>
        <w:ind w:hanging="0" w:start="0" w:end="0"/>
        <w:jc w:val="start"/>
        <w:rPr/>
      </w:pPr>
      <w:r>
        <w:rPr/>
      </w:r>
    </w:p>
    <w:p>
      <w:pPr>
        <w:pStyle w:val="Heading2"/>
        <w:numPr>
          <w:ilvl w:val="0"/>
          <w:numId w:val="1"/>
        </w:numPr>
        <w:bidi w:val="0"/>
        <w:ind w:hanging="270" w:start="270" w:end="0"/>
        <w:jc w:val="start"/>
        <w:outlineLvl w:val="1"/>
        <w:rPr>
          <w:rFonts w:ascii="Times New Roman" w:hAnsi="Times New Roman"/>
          <w:sz w:val="24"/>
        </w:rPr>
      </w:pPr>
      <w:r>
        <w:rPr>
          <w:b/>
          <w:sz w:val="24"/>
        </w:rPr>
        <w:t xml:space="preserve">Enron Funding – </w:t>
      </w:r>
      <w:r>
        <w:rPr>
          <w:sz w:val="24"/>
        </w:rPr>
        <w:t>Enron will fund approximately [$300MM] to buy-out the public minority.</w:t>
      </w:r>
      <w:r>
        <w:rPr>
          <w:b/>
          <w:sz w:val="24"/>
        </w:rPr>
        <w:t xml:space="preserve">  </w:t>
      </w:r>
    </w:p>
    <w:p>
      <w:pPr>
        <w:pStyle w:val="Heading2"/>
        <w:numPr>
          <w:ilvl w:val="0"/>
          <w:numId w:val="1"/>
        </w:numPr>
        <w:bidi w:val="0"/>
        <w:ind w:hanging="270" w:start="270" w:end="0"/>
        <w:jc w:val="start"/>
        <w:outlineLvl w:val="1"/>
        <w:rPr>
          <w:rFonts w:ascii="Times New Roman" w:hAnsi="Times New Roman"/>
          <w:sz w:val="24"/>
        </w:rPr>
      </w:pPr>
      <w:r>
        <w:rPr>
          <w:b/>
          <w:sz w:val="24"/>
        </w:rPr>
        <w:t>Public Announcement</w:t>
      </w:r>
      <w:r>
        <w:rPr>
          <w:sz w:val="24"/>
        </w:rPr>
        <w:t>– Enron and Azurix announce on October 27 that Enron has offered to fund buy-out of public at [xx] per share.</w:t>
      </w:r>
    </w:p>
    <w:p>
      <w:pPr>
        <w:pStyle w:val="Heading2"/>
        <w:numPr>
          <w:ilvl w:val="0"/>
          <w:numId w:val="1"/>
        </w:numPr>
        <w:bidi w:val="0"/>
        <w:ind w:hanging="270" w:start="270" w:end="0"/>
        <w:jc w:val="start"/>
        <w:outlineLvl w:val="1"/>
        <w:rPr>
          <w:rFonts w:ascii="Times New Roman" w:hAnsi="Times New Roman"/>
          <w:sz w:val="24"/>
        </w:rPr>
      </w:pPr>
      <w:r>
        <w:rPr>
          <w:b/>
          <w:sz w:val="24"/>
        </w:rPr>
        <w:t>Share Purchase Finalization</w:t>
      </w:r>
      <w:r>
        <w:rPr>
          <w:sz w:val="24"/>
        </w:rPr>
        <w:t xml:space="preserve"> – Shares to be delivered and payment made in 2001.</w:t>
      </w:r>
    </w:p>
    <w:p>
      <w:pPr>
        <w:pStyle w:val="Heading2"/>
        <w:numPr>
          <w:ilvl w:val="0"/>
          <w:numId w:val="1"/>
        </w:numPr>
        <w:bidi w:val="0"/>
        <w:ind w:hanging="270" w:start="270" w:end="0"/>
        <w:jc w:val="start"/>
        <w:outlineLvl w:val="1"/>
        <w:rPr>
          <w:rFonts w:ascii="Times New Roman" w:hAnsi="Times New Roman"/>
          <w:sz w:val="24"/>
        </w:rPr>
      </w:pPr>
      <w:r>
        <w:rPr>
          <w:b/>
          <w:sz w:val="24"/>
        </w:rPr>
        <w:t>Overhead Reductions</w:t>
      </w:r>
      <w:r>
        <w:rPr>
          <w:sz w:val="24"/>
        </w:rPr>
        <w:t xml:space="preserve"> – Azurix overhead will be reduced. </w:t>
      </w:r>
    </w:p>
    <w:p>
      <w:pPr>
        <w:pStyle w:val="Normal"/>
        <w:bidi w:val="0"/>
        <w:ind w:hanging="0" w:start="0" w:end="0"/>
        <w:jc w:val="start"/>
        <w:rPr/>
      </w:pPr>
      <w:r>
        <w:rPr/>
      </w:r>
    </w:p>
    <w:p>
      <w:pPr>
        <w:pStyle w:val="Heading1"/>
        <w:numPr>
          <w:ilvl w:val="0"/>
          <w:numId w:val="0"/>
        </w:numPr>
        <w:bidi w:val="0"/>
        <w:ind w:hanging="0" w:start="0"/>
        <w:outlineLvl w:val="0"/>
        <w:rPr>
          <w:rFonts w:ascii="Times New Roman" w:hAnsi="Times New Roman"/>
          <w:b/>
          <w:sz w:val="32"/>
        </w:rPr>
      </w:pPr>
      <w:r>
        <w:rPr>
          <w:b/>
          <w:sz w:val="32"/>
        </w:rPr>
        <w:t>Azurix Benefits</w:t>
      </w:r>
    </w:p>
    <w:p>
      <w:pPr>
        <w:pStyle w:val="Normal"/>
        <w:bidi w:val="0"/>
        <w:ind w:hanging="0" w:start="0" w:end="0"/>
        <w:jc w:val="start"/>
        <w:rPr/>
      </w:pPr>
      <w:r>
        <w:rPr/>
      </w:r>
    </w:p>
    <w:p>
      <w:pPr>
        <w:pStyle w:val="Heading2"/>
        <w:numPr>
          <w:ilvl w:val="0"/>
          <w:numId w:val="1"/>
        </w:numPr>
        <w:bidi w:val="0"/>
        <w:ind w:hanging="270" w:start="270" w:end="0"/>
        <w:jc w:val="start"/>
        <w:outlineLvl w:val="1"/>
        <w:rPr>
          <w:rFonts w:ascii="Times New Roman" w:hAnsi="Times New Roman"/>
          <w:sz w:val="24"/>
        </w:rPr>
      </w:pPr>
      <w:r>
        <w:rPr>
          <w:b/>
          <w:sz w:val="24"/>
        </w:rPr>
        <w:t xml:space="preserve">100% Private Equity Holders – </w:t>
      </w:r>
      <w:r>
        <w:rPr>
          <w:sz w:val="24"/>
        </w:rPr>
        <w:t>Enron’s stock purchase will allow Azurix increased flexibility in its actions due to decreased focus from public equity market.</w:t>
      </w:r>
    </w:p>
    <w:p>
      <w:pPr>
        <w:pStyle w:val="Heading2"/>
        <w:numPr>
          <w:ilvl w:val="0"/>
          <w:numId w:val="1"/>
        </w:numPr>
        <w:bidi w:val="0"/>
        <w:ind w:hanging="270" w:start="270" w:end="0"/>
        <w:jc w:val="start"/>
        <w:outlineLvl w:val="1"/>
        <w:rPr>
          <w:rFonts w:ascii="Times New Roman" w:hAnsi="Times New Roman"/>
          <w:sz w:val="24"/>
        </w:rPr>
      </w:pPr>
      <w:r>
        <w:rPr>
          <w:b/>
          <w:sz w:val="24"/>
        </w:rPr>
        <w:t>Increased Enron Management Involvement</w:t>
      </w:r>
      <w:r>
        <w:rPr>
          <w:sz w:val="24"/>
        </w:rPr>
        <w:t xml:space="preserve"> – Azurix management team to be supplemented with experienced Enron personnel.</w:t>
      </w:r>
    </w:p>
    <w:p>
      <w:pPr>
        <w:pStyle w:val="Heading2"/>
        <w:numPr>
          <w:ilvl w:val="0"/>
          <w:numId w:val="1"/>
        </w:numPr>
        <w:bidi w:val="0"/>
        <w:ind w:hanging="270" w:start="270" w:end="0"/>
        <w:jc w:val="start"/>
        <w:outlineLvl w:val="1"/>
        <w:rPr>
          <w:rFonts w:ascii="Times New Roman" w:hAnsi="Times New Roman"/>
          <w:sz w:val="24"/>
        </w:rPr>
      </w:pPr>
      <w:r>
        <w:rPr>
          <w:b/>
          <w:sz w:val="24"/>
        </w:rPr>
        <w:t xml:space="preserve">Reduced Earnings Pressure – </w:t>
      </w:r>
      <w:r>
        <w:rPr>
          <w:sz w:val="24"/>
        </w:rPr>
        <w:t>Lack of public equity base frees company from market expectations as to revenue and earnings growth.</w:t>
      </w:r>
    </w:p>
    <w:p>
      <w:pPr>
        <w:pStyle w:val="Heading2"/>
        <w:numPr>
          <w:ilvl w:val="0"/>
          <w:numId w:val="1"/>
        </w:numPr>
        <w:bidi w:val="0"/>
        <w:ind w:hanging="270" w:start="270" w:end="0"/>
        <w:jc w:val="start"/>
        <w:outlineLvl w:val="1"/>
        <w:rPr>
          <w:rFonts w:ascii="Times New Roman" w:hAnsi="Times New Roman"/>
          <w:sz w:val="24"/>
        </w:rPr>
      </w:pPr>
      <w:r>
        <w:rPr>
          <w:b/>
          <w:sz w:val="24"/>
        </w:rPr>
        <w:t>No Bondholder Trigger</w:t>
      </w:r>
      <w:r>
        <w:rPr>
          <w:sz w:val="24"/>
        </w:rPr>
        <w:t xml:space="preserve"> – Purchase of the public equity will not trigger high yield bondholders’ rights to call debt.</w:t>
      </w:r>
    </w:p>
    <w:p>
      <w:pPr>
        <w:pStyle w:val="Heading2"/>
        <w:numPr>
          <w:ilvl w:val="0"/>
          <w:numId w:val="0"/>
        </w:numPr>
        <w:bidi w:val="0"/>
        <w:ind w:hanging="270" w:start="270"/>
        <w:jc w:val="start"/>
        <w:outlineLvl w:val="1"/>
        <w:rPr>
          <w:rFonts w:ascii="Times New Roman" w:hAnsi="Times New Roman"/>
          <w:b/>
          <w:sz w:val="24"/>
        </w:rPr>
      </w:pPr>
      <w:r>
        <w:rPr>
          <w:b/>
          <w:sz w:val="24"/>
        </w:rPr>
      </w:r>
    </w:p>
    <w:p>
      <w:pPr>
        <w:pStyle w:val="Heading2"/>
        <w:numPr>
          <w:ilvl w:val="0"/>
          <w:numId w:val="0"/>
        </w:numPr>
        <w:tabs>
          <w:tab w:val="clear" w:pos="720"/>
          <w:tab w:val="left" w:pos="3630" w:leader="none"/>
        </w:tabs>
        <w:bidi w:val="0"/>
        <w:ind w:hanging="270" w:start="270"/>
        <w:jc w:val="start"/>
        <w:outlineLvl w:val="1"/>
        <w:rPr>
          <w:rFonts w:ascii="Times New Roman" w:hAnsi="Times New Roman"/>
          <w:sz w:val="28"/>
        </w:rPr>
      </w:pPr>
      <w:r>
        <w:rPr/>
        <w:tab/>
        <w:tab/>
      </w:r>
    </w:p>
    <w:p>
      <w:pPr>
        <w:pStyle w:val="Heading1"/>
        <w:numPr>
          <w:ilvl w:val="0"/>
          <w:numId w:val="0"/>
        </w:numPr>
        <w:bidi w:val="0"/>
        <w:ind w:hanging="0" w:start="0"/>
        <w:outlineLvl w:val="0"/>
        <w:rPr>
          <w:rFonts w:ascii="Times New Roman" w:hAnsi="Times New Roman"/>
          <w:b/>
          <w:sz w:val="32"/>
        </w:rPr>
      </w:pPr>
      <w:r>
        <w:rPr>
          <w:b/>
          <w:sz w:val="32"/>
        </w:rPr>
        <w:t>Marlin Water Trust Impact</w:t>
      </w:r>
    </w:p>
    <w:p>
      <w:pPr>
        <w:pStyle w:val="Normal"/>
        <w:bidi w:val="0"/>
        <w:ind w:hanging="0" w:start="0" w:end="0"/>
        <w:jc w:val="start"/>
        <w:rPr/>
      </w:pPr>
      <w:r>
        <w:rPr/>
      </w:r>
    </w:p>
    <w:p>
      <w:pPr>
        <w:pStyle w:val="Heading2"/>
        <w:numPr>
          <w:ilvl w:val="0"/>
          <w:numId w:val="1"/>
        </w:numPr>
        <w:bidi w:val="0"/>
        <w:ind w:hanging="270" w:start="270" w:end="0"/>
        <w:jc w:val="start"/>
        <w:outlineLvl w:val="1"/>
        <w:rPr>
          <w:rFonts w:ascii="Times New Roman" w:hAnsi="Times New Roman"/>
          <w:sz w:val="24"/>
        </w:rPr>
      </w:pPr>
      <w:r>
        <w:rPr>
          <w:b/>
          <w:sz w:val="24"/>
        </w:rPr>
        <w:t>Continued 50% Equity Stake in Atlantic Water Trust</w:t>
      </w:r>
      <w:r>
        <w:rPr>
          <w:sz w:val="24"/>
        </w:rPr>
        <w:t xml:space="preserve"> – Marlin Water Trust ownership not impacted by public stock buy-out.</w:t>
      </w:r>
    </w:p>
    <w:p>
      <w:pPr>
        <w:pStyle w:val="Heading2"/>
        <w:numPr>
          <w:ilvl w:val="0"/>
          <w:numId w:val="1"/>
        </w:numPr>
        <w:bidi w:val="0"/>
        <w:ind w:hanging="270" w:start="270" w:end="0"/>
        <w:jc w:val="start"/>
        <w:outlineLvl w:val="1"/>
        <w:rPr>
          <w:rFonts w:ascii="Times New Roman" w:hAnsi="Times New Roman"/>
          <w:sz w:val="24"/>
        </w:rPr>
      </w:pPr>
      <w:r>
        <w:rPr>
          <w:b/>
          <w:sz w:val="24"/>
        </w:rPr>
        <w:t>Marlin Noteholders Not Impacted</w:t>
      </w:r>
      <w:r>
        <w:rPr>
          <w:sz w:val="24"/>
        </w:rPr>
        <w:t xml:space="preserve"> – The Marlin structure will remain in place in the near term.  August 15, 2001 deposit date not impacted.</w:t>
      </w:r>
    </w:p>
    <w:p>
      <w:pPr>
        <w:pStyle w:val="Heading3"/>
        <w:numPr>
          <w:ilvl w:val="0"/>
          <w:numId w:val="1"/>
        </w:numPr>
        <w:bidi w:val="0"/>
        <w:ind w:hanging="270" w:start="270" w:end="0"/>
        <w:jc w:val="start"/>
        <w:outlineLvl w:val="2"/>
        <w:rPr>
          <w:rFonts w:ascii="Times New Roman" w:hAnsi="Times New Roman"/>
          <w:sz w:val="24"/>
        </w:rPr>
      </w:pPr>
      <w:r>
        <w:rPr>
          <w:b/>
          <w:sz w:val="24"/>
        </w:rPr>
        <w:t>Sources of Marlin Repayment Remain Intact</w:t>
      </w:r>
      <w:r>
        <w:rPr>
          <w:sz w:val="24"/>
        </w:rPr>
        <w:t xml:space="preserve"> – Marlin noteholders continue to rely on the original sources of repayment.</w:t>
      </w:r>
    </w:p>
    <w:p>
      <w:pPr>
        <w:pStyle w:val="Heading2"/>
        <w:numPr>
          <w:ilvl w:val="0"/>
          <w:numId w:val="0"/>
        </w:numPr>
        <w:bidi w:val="0"/>
        <w:ind w:hanging="270" w:start="270"/>
        <w:jc w:val="start"/>
        <w:outlineLvl w:val="1"/>
        <w:rPr>
          <w:rFonts w:ascii="Times New Roman" w:hAnsi="Times New Roman"/>
          <w:sz w:val="24"/>
        </w:rPr>
      </w:pPr>
      <w:r>
        <w:rPr>
          <w:sz w:val="24"/>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r>
        <w:br w:type="page"/>
      </w:r>
    </w:p>
    <w:p>
      <w:pPr>
        <w:pStyle w:val="Normal"/>
        <w:bidi w:val="0"/>
        <w:ind w:hanging="0" w:start="0" w:end="0"/>
        <w:jc w:val="start"/>
        <w:rPr/>
      </w:pPr>
      <w:r>
        <w:rPr/>
      </w:r>
    </w:p>
    <w:p>
      <w:pPr>
        <w:pStyle w:val="Normal"/>
        <w:bidi w:val="0"/>
        <w:ind w:hanging="0" w:start="0" w:end="0"/>
        <w:jc w:val="start"/>
        <w:rPr/>
      </w:pPr>
      <w:r>
        <w:rPr/>
      </w:r>
    </w:p>
    <w:p>
      <w:pPr>
        <w:pStyle w:val="Heading9"/>
        <w:bidi w:val="0"/>
        <w:rPr>
          <w:rFonts w:ascii="Times New Roman" w:hAnsi="Times New Roman"/>
        </w:rPr>
      </w:pPr>
      <w:r>
        <w:rPr/>
        <w:t>Backup Information</w:t>
      </w:r>
    </w:p>
    <w:p>
      <w:pPr>
        <w:pStyle w:val="Normal"/>
        <w:bidi w:val="0"/>
        <w:ind w:hanging="0" w:start="0" w:end="0"/>
        <w:jc w:val="start"/>
        <w:rPr>
          <w:b/>
        </w:rPr>
      </w:pPr>
      <w:r>
        <w:rPr>
          <w:b/>
        </w:rPr>
      </w:r>
    </w:p>
    <w:p>
      <w:pPr>
        <w:pStyle w:val="Normal"/>
        <w:bidi w:val="0"/>
        <w:ind w:hanging="0" w:start="0" w:end="0"/>
        <w:jc w:val="start"/>
        <w:rPr>
          <w:b/>
        </w:rPr>
      </w:pPr>
      <w:r>
        <w:rPr>
          <w:b/>
        </w:rPr>
        <w:t>Post-Marlin Equity Issuance:</w:t>
      </w:r>
    </w:p>
    <w:p>
      <w:pPr>
        <w:pStyle w:val="Normal"/>
        <w:numPr>
          <w:ilvl w:val="0"/>
          <w:numId w:val="2"/>
        </w:numPr>
        <w:bidi w:val="0"/>
        <w:ind w:hanging="0" w:start="0" w:end="0"/>
        <w:jc w:val="start"/>
        <w:rPr/>
      </w:pPr>
      <w:r>
        <w:rPr/>
        <w:t xml:space="preserve">Issuances related to benefit and dividend reinvestment </w:t>
        <w:tab/>
        <w:t>$1,071MM</w:t>
      </w:r>
    </w:p>
    <w:p>
      <w:pPr>
        <w:pStyle w:val="Normal"/>
        <w:numPr>
          <w:ilvl w:val="0"/>
          <w:numId w:val="2"/>
        </w:numPr>
        <w:bidi w:val="0"/>
        <w:ind w:hanging="0" w:start="0" w:end="0"/>
        <w:jc w:val="start"/>
        <w:rPr/>
      </w:pPr>
      <w:r>
        <w:rPr/>
        <w:t>Sale of common stock</w:t>
        <w:tab/>
        <w:tab/>
        <w:tab/>
        <w:tab/>
        <w:tab/>
        <w:t>$   839MM</w:t>
      </w:r>
    </w:p>
    <w:p>
      <w:pPr>
        <w:pStyle w:val="Normal"/>
        <w:numPr>
          <w:ilvl w:val="0"/>
          <w:numId w:val="2"/>
        </w:numPr>
        <w:bidi w:val="0"/>
        <w:ind w:hanging="0" w:start="0" w:end="0"/>
        <w:jc w:val="start"/>
        <w:rPr/>
      </w:pPr>
      <w:r>
        <w:rPr/>
        <w:t>Issuances of common stock for business acquisition</w:t>
        <w:tab/>
        <w:tab/>
      </w:r>
      <w:r>
        <w:rPr>
          <w:u w:val="single"/>
        </w:rPr>
        <w:t>$   730MM</w:t>
      </w:r>
    </w:p>
    <w:p>
      <w:pPr>
        <w:pStyle w:val="Normal"/>
        <w:bidi w:val="0"/>
        <w:ind w:hanging="0" w:start="0" w:end="0"/>
        <w:jc w:val="start"/>
        <w:rPr>
          <w:b/>
        </w:rPr>
      </w:pPr>
      <w:r>
        <w:rPr>
          <w:b/>
        </w:rPr>
        <w:t>Total Post-Marlin Equity Issuance</w:t>
        <w:tab/>
        <w:tab/>
        <w:tab/>
        <w:tab/>
        <w:t>$2,640MM</w:t>
      </w:r>
    </w:p>
    <w:p>
      <w:pPr>
        <w:pStyle w:val="Normal"/>
        <w:bidi w:val="0"/>
        <w:ind w:hanging="0" w:start="0" w:end="0"/>
        <w:jc w:val="start"/>
        <w:rPr>
          <w:b/>
        </w:rPr>
      </w:pPr>
      <w:r>
        <w:rPr>
          <w:b/>
        </w:rPr>
      </w:r>
    </w:p>
    <w:p>
      <w:pPr>
        <w:pStyle w:val="Normal"/>
        <w:bidi w:val="0"/>
        <w:ind w:hanging="0" w:start="0" w:end="0"/>
        <w:jc w:val="start"/>
        <w:rPr>
          <w:b/>
        </w:rPr>
      </w:pPr>
      <w:r>
        <w:rPr>
          <w:b/>
        </w:rPr>
        <w:t>Option Vesting Schedule:</w:t>
      </w:r>
    </w:p>
    <w:p>
      <w:pPr>
        <w:pStyle w:val="Normal"/>
        <w:numPr>
          <w:ilvl w:val="0"/>
          <w:numId w:val="3"/>
        </w:numPr>
        <w:bidi w:val="0"/>
        <w:ind w:hanging="0" w:start="0" w:end="0"/>
        <w:jc w:val="start"/>
        <w:rPr>
          <w:b/>
        </w:rPr>
      </w:pPr>
      <w:r>
        <w:rPr/>
        <w:t>2001 restricted share vesting estimate – 1.9MM shares</w:t>
        <w:tab/>
        <w:t>$   156MM</w:t>
      </w:r>
    </w:p>
    <w:p>
      <w:pPr>
        <w:pStyle w:val="Normal"/>
        <w:numPr>
          <w:ilvl w:val="0"/>
          <w:numId w:val="3"/>
        </w:numPr>
        <w:bidi w:val="0"/>
        <w:ind w:hanging="0" w:start="0" w:end="0"/>
        <w:jc w:val="start"/>
        <w:rPr>
          <w:b/>
        </w:rPr>
      </w:pPr>
      <w:r>
        <w:rPr/>
        <w:t>2001 stock option vesting estimate – 25MM shares</w:t>
        <w:tab/>
        <w:tab/>
        <w:t>$2,001MM</w:t>
      </w:r>
    </w:p>
    <w:p>
      <w:pPr>
        <w:pStyle w:val="Normal"/>
        <w:numPr>
          <w:ilvl w:val="0"/>
          <w:numId w:val="3"/>
        </w:numPr>
        <w:bidi w:val="0"/>
        <w:ind w:hanging="0" w:start="0" w:end="0"/>
        <w:jc w:val="start"/>
        <w:rPr>
          <w:b/>
        </w:rPr>
      </w:pPr>
      <w:r>
        <w:rPr/>
        <w:t>2002 stock option vesting estimate – 22MM shares</w:t>
        <w:tab/>
        <w:tab/>
        <w:t>$1,724MM</w:t>
      </w:r>
    </w:p>
    <w:p>
      <w:pPr>
        <w:pStyle w:val="Normal"/>
        <w:numPr>
          <w:ilvl w:val="0"/>
          <w:numId w:val="3"/>
        </w:numPr>
        <w:bidi w:val="0"/>
        <w:ind w:hanging="0" w:start="0" w:end="0"/>
        <w:jc w:val="start"/>
        <w:rPr>
          <w:b/>
        </w:rPr>
      </w:pPr>
      <w:r>
        <w:rPr/>
        <w:t>2003 stock option vesting estimate – 14MM shares</w:t>
        <w:tab/>
        <w:tab/>
      </w:r>
      <w:r>
        <w:rPr>
          <w:u w:val="single"/>
        </w:rPr>
        <w:t>$1,132MM</w:t>
      </w:r>
    </w:p>
    <w:p>
      <w:pPr>
        <w:pStyle w:val="Normal"/>
        <w:bidi w:val="0"/>
        <w:ind w:hanging="0" w:start="0" w:end="0"/>
        <w:jc w:val="start"/>
        <w:rPr>
          <w:b/>
        </w:rPr>
      </w:pPr>
      <w:r>
        <w:rPr>
          <w:b/>
        </w:rPr>
        <w:t>Total Value vesting in next three years (@$80)</w:t>
        <w:tab/>
        <w:tab/>
        <w:t>$5,013MM</w:t>
      </w:r>
    </w:p>
    <w:p>
      <w:pPr>
        <w:pStyle w:val="Normal"/>
        <w:bidi w:val="0"/>
        <w:ind w:hanging="0" w:start="0" w:end="0"/>
        <w:jc w:val="start"/>
        <w:rPr>
          <w:b/>
        </w:rPr>
      </w:pPr>
      <w:r>
        <w:rPr>
          <w:b/>
        </w:rPr>
      </w:r>
    </w:p>
    <w:p>
      <w:pPr>
        <w:pStyle w:val="Normal"/>
        <w:bidi w:val="0"/>
        <w:ind w:hanging="0" w:start="0" w:end="0"/>
        <w:jc w:val="start"/>
        <w:rPr>
          <w:b/>
        </w:rPr>
      </w:pPr>
      <w:r>
        <w:rPr>
          <w:b/>
        </w:rPr>
        <w:t>Proceeds from Sales of Merchant Assets Post-Marlin:</w:t>
      </w:r>
    </w:p>
    <w:p>
      <w:pPr>
        <w:pStyle w:val="Normal"/>
        <w:numPr>
          <w:ilvl w:val="0"/>
          <w:numId w:val="4"/>
        </w:numPr>
        <w:bidi w:val="0"/>
        <w:ind w:hanging="0" w:start="0" w:end="0"/>
        <w:jc w:val="start"/>
        <w:rPr>
          <w:b/>
        </w:rPr>
      </w:pPr>
      <w:r>
        <w:rPr/>
        <w:t>1999 merchant asset sales</w:t>
        <w:tab/>
        <w:tab/>
        <w:tab/>
        <w:tab/>
        <w:tab/>
        <w:t>$2,217MM</w:t>
      </w:r>
    </w:p>
    <w:p>
      <w:pPr>
        <w:pStyle w:val="Normal"/>
        <w:numPr>
          <w:ilvl w:val="0"/>
          <w:numId w:val="4"/>
        </w:numPr>
        <w:bidi w:val="0"/>
        <w:ind w:hanging="0" w:start="0" w:end="0"/>
        <w:jc w:val="start"/>
        <w:rPr>
          <w:b/>
        </w:rPr>
      </w:pPr>
      <w:r>
        <w:rPr/>
        <w:t>2000 YTD merchant asset sales</w:t>
        <w:tab/>
        <w:tab/>
        <w:tab/>
        <w:tab/>
      </w:r>
      <w:r>
        <w:rPr>
          <w:u w:val="single"/>
        </w:rPr>
        <w:t>$1,880MM</w:t>
      </w:r>
    </w:p>
    <w:p>
      <w:pPr>
        <w:pStyle w:val="Normal"/>
        <w:bidi w:val="0"/>
        <w:ind w:hanging="0" w:start="0" w:end="0"/>
        <w:jc w:val="start"/>
        <w:rPr>
          <w:b/>
        </w:rPr>
      </w:pPr>
      <w:r>
        <w:rPr>
          <w:b/>
        </w:rPr>
        <w:t>Total Post-Marlin merchant asset sales</w:t>
        <w:tab/>
        <w:tab/>
        <w:tab/>
        <w:t>$4,097MM</w:t>
      </w:r>
    </w:p>
    <w:p>
      <w:pPr>
        <w:pStyle w:val="Normal"/>
        <w:bidi w:val="0"/>
        <w:ind w:hanging="0" w:start="0" w:end="0"/>
        <w:jc w:val="start"/>
        <w:rPr/>
      </w:pPr>
      <w:r>
        <w:rPr/>
      </w:r>
    </w:p>
    <w:p>
      <w:pPr>
        <w:pStyle w:val="Normal"/>
        <w:bidi w:val="0"/>
        <w:ind w:hanging="0" w:start="0" w:end="0"/>
        <w:jc w:val="start"/>
        <w:rPr>
          <w:b/>
        </w:rPr>
      </w:pPr>
      <w:r>
        <w:rPr>
          <w:b/>
        </w:rPr>
        <w:t>Potential Proceeds from Sales of Assets/Businesses in 2001:</w:t>
      </w:r>
    </w:p>
    <w:p>
      <w:pPr>
        <w:pStyle w:val="Normal"/>
        <w:numPr>
          <w:ilvl w:val="0"/>
          <w:numId w:val="4"/>
        </w:numPr>
        <w:bidi w:val="0"/>
        <w:ind w:hanging="0" w:start="0" w:end="0"/>
        <w:jc w:val="start"/>
        <w:rPr>
          <w:b/>
        </w:rPr>
      </w:pPr>
      <w:r>
        <w:rPr/>
        <w:t>EREC – Enron Wind Corp</w:t>
        <w:tab/>
        <w:tab/>
        <w:tab/>
        <w:tab/>
        <w:tab/>
        <w:t>$   386MM</w:t>
      </w:r>
    </w:p>
    <w:p>
      <w:pPr>
        <w:pStyle w:val="Normal"/>
        <w:numPr>
          <w:ilvl w:val="0"/>
          <w:numId w:val="4"/>
        </w:numPr>
        <w:bidi w:val="0"/>
        <w:ind w:hanging="0" w:start="0" w:end="0"/>
        <w:jc w:val="start"/>
        <w:rPr>
          <w:b/>
        </w:rPr>
      </w:pPr>
      <w:r>
        <w:rPr/>
        <w:t>Elektro</w:t>
        <w:tab/>
        <w:tab/>
        <w:tab/>
        <w:tab/>
        <w:tab/>
        <w:tab/>
        <w:tab/>
        <w:t>$2,002MM</w:t>
      </w:r>
    </w:p>
    <w:p>
      <w:pPr>
        <w:pStyle w:val="Normal"/>
        <w:numPr>
          <w:ilvl w:val="0"/>
          <w:numId w:val="4"/>
        </w:numPr>
        <w:bidi w:val="0"/>
        <w:ind w:hanging="0" w:start="0" w:end="0"/>
        <w:jc w:val="start"/>
        <w:rPr>
          <w:b/>
        </w:rPr>
      </w:pPr>
      <w:r>
        <w:rPr/>
        <w:t>SA Gaspart LDC’s</w:t>
        <w:tab/>
        <w:tab/>
        <w:tab/>
        <w:tab/>
        <w:tab/>
        <w:tab/>
        <w:t>$   450MM</w:t>
      </w:r>
    </w:p>
    <w:p>
      <w:pPr>
        <w:pStyle w:val="Normal"/>
        <w:numPr>
          <w:ilvl w:val="0"/>
          <w:numId w:val="4"/>
        </w:numPr>
        <w:bidi w:val="0"/>
        <w:ind w:hanging="0" w:start="0" w:end="0"/>
        <w:jc w:val="start"/>
        <w:rPr>
          <w:b/>
        </w:rPr>
      </w:pPr>
      <w:r>
        <w:rPr/>
        <w:t>Portland General</w:t>
        <w:tab/>
        <w:tab/>
        <w:tab/>
        <w:tab/>
        <w:tab/>
        <w:tab/>
        <w:t>$1,600MM</w:t>
      </w:r>
    </w:p>
    <w:p>
      <w:pPr>
        <w:pStyle w:val="Normal"/>
        <w:numPr>
          <w:ilvl w:val="0"/>
          <w:numId w:val="4"/>
        </w:numPr>
        <w:bidi w:val="0"/>
        <w:ind w:hanging="0" w:start="0" w:end="0"/>
        <w:jc w:val="start"/>
        <w:rPr>
          <w:b/>
        </w:rPr>
      </w:pPr>
      <w:r>
        <w:rPr/>
        <w:t>NEPCO</w:t>
        <w:tab/>
        <w:tab/>
        <w:tab/>
        <w:tab/>
        <w:tab/>
        <w:tab/>
        <w:tab/>
        <w:t>$   100MM</w:t>
      </w:r>
    </w:p>
    <w:p>
      <w:pPr>
        <w:pStyle w:val="Normal"/>
        <w:numPr>
          <w:ilvl w:val="0"/>
          <w:numId w:val="4"/>
        </w:numPr>
        <w:bidi w:val="0"/>
        <w:ind w:hanging="0" w:start="0" w:end="0"/>
        <w:jc w:val="start"/>
        <w:rPr>
          <w:b/>
        </w:rPr>
      </w:pPr>
      <w:r>
        <w:rPr/>
        <w:t>Dabhol</w:t>
        <w:tab/>
        <w:tab/>
        <w:tab/>
        <w:tab/>
        <w:tab/>
        <w:tab/>
        <w:tab/>
        <w:t>$   605MM</w:t>
      </w:r>
    </w:p>
    <w:p>
      <w:pPr>
        <w:pStyle w:val="Normal"/>
        <w:numPr>
          <w:ilvl w:val="0"/>
          <w:numId w:val="4"/>
        </w:numPr>
        <w:bidi w:val="0"/>
        <w:ind w:hanging="0" w:start="0" w:end="0"/>
        <w:jc w:val="start"/>
        <w:rPr>
          <w:b/>
        </w:rPr>
      </w:pPr>
      <w:r>
        <w:rPr/>
        <w:t>Global E&amp;P</w:t>
        <w:tab/>
        <w:tab/>
        <w:tab/>
        <w:tab/>
        <w:tab/>
        <w:tab/>
        <w:tab/>
        <w:t>$   460MM</w:t>
      </w:r>
    </w:p>
    <w:p>
      <w:pPr>
        <w:pStyle w:val="Normal"/>
        <w:numPr>
          <w:ilvl w:val="0"/>
          <w:numId w:val="4"/>
        </w:numPr>
        <w:bidi w:val="0"/>
        <w:ind w:hanging="0" w:start="0" w:end="0"/>
        <w:jc w:val="start"/>
        <w:rPr>
          <w:b/>
        </w:rPr>
      </w:pPr>
      <w:r>
        <w:rPr/>
        <w:t>SK</w:t>
        <w:tab/>
        <w:tab/>
        <w:tab/>
        <w:tab/>
        <w:tab/>
        <w:tab/>
        <w:tab/>
        <w:tab/>
        <w:t>$   271MM</w:t>
      </w:r>
    </w:p>
    <w:p>
      <w:pPr>
        <w:pStyle w:val="Normal"/>
        <w:numPr>
          <w:ilvl w:val="0"/>
          <w:numId w:val="4"/>
        </w:numPr>
        <w:bidi w:val="0"/>
        <w:ind w:hanging="0" w:start="0" w:end="0"/>
        <w:jc w:val="start"/>
        <w:rPr>
          <w:b/>
        </w:rPr>
      </w:pPr>
      <w:r>
        <w:rPr/>
        <w:t>TGS</w:t>
        <w:tab/>
        <w:tab/>
        <w:tab/>
        <w:tab/>
        <w:tab/>
        <w:tab/>
        <w:tab/>
        <w:tab/>
        <w:t>$   406MM</w:t>
      </w:r>
    </w:p>
    <w:p>
      <w:pPr>
        <w:pStyle w:val="Normal"/>
        <w:numPr>
          <w:ilvl w:val="0"/>
          <w:numId w:val="4"/>
        </w:numPr>
        <w:bidi w:val="0"/>
        <w:ind w:hanging="0" w:start="0" w:end="0"/>
        <w:jc w:val="start"/>
        <w:rPr>
          <w:b/>
        </w:rPr>
      </w:pPr>
      <w:r>
        <w:rPr/>
        <w:t>Cuiaba</w:t>
        <w:tab/>
        <w:tab/>
        <w:tab/>
        <w:tab/>
        <w:tab/>
        <w:tab/>
        <w:tab/>
        <w:t>$   428MM</w:t>
      </w:r>
    </w:p>
    <w:p>
      <w:pPr>
        <w:pStyle w:val="Normal"/>
        <w:numPr>
          <w:ilvl w:val="0"/>
          <w:numId w:val="4"/>
        </w:numPr>
        <w:bidi w:val="0"/>
        <w:ind w:hanging="0" w:start="0" w:end="0"/>
        <w:jc w:val="start"/>
        <w:rPr>
          <w:b/>
        </w:rPr>
      </w:pPr>
      <w:r>
        <w:rPr/>
        <w:t>Ventane</w:t>
        <w:tab/>
        <w:tab/>
        <w:tab/>
        <w:tab/>
        <w:tab/>
        <w:tab/>
        <w:tab/>
        <w:t>$   169MM</w:t>
      </w:r>
    </w:p>
    <w:p>
      <w:pPr>
        <w:pStyle w:val="Normal"/>
        <w:numPr>
          <w:ilvl w:val="0"/>
          <w:numId w:val="4"/>
        </w:numPr>
        <w:bidi w:val="0"/>
        <w:ind w:hanging="0" w:start="0" w:end="0"/>
        <w:jc w:val="start"/>
        <w:rPr>
          <w:b/>
        </w:rPr>
      </w:pPr>
      <w:r>
        <w:rPr/>
        <w:t>Promigas</w:t>
        <w:tab/>
        <w:tab/>
        <w:tab/>
        <w:tab/>
        <w:tab/>
        <w:tab/>
        <w:tab/>
        <w:t>$   154MM</w:t>
      </w:r>
    </w:p>
    <w:p>
      <w:pPr>
        <w:pStyle w:val="Normal"/>
        <w:numPr>
          <w:ilvl w:val="0"/>
          <w:numId w:val="4"/>
        </w:numPr>
        <w:bidi w:val="0"/>
        <w:ind w:hanging="0" w:start="0" w:end="0"/>
        <w:jc w:val="start"/>
        <w:rPr>
          <w:b/>
        </w:rPr>
      </w:pPr>
      <w:r>
        <w:rPr/>
        <w:t>Transredes</w:t>
        <w:tab/>
        <w:tab/>
        <w:tab/>
        <w:tab/>
        <w:tab/>
        <w:tab/>
        <w:tab/>
        <w:t>$   154MM</w:t>
      </w:r>
    </w:p>
    <w:p>
      <w:pPr>
        <w:pStyle w:val="Normal"/>
        <w:numPr>
          <w:ilvl w:val="0"/>
          <w:numId w:val="4"/>
        </w:numPr>
        <w:bidi w:val="0"/>
        <w:ind w:hanging="0" w:start="0" w:end="0"/>
        <w:jc w:val="start"/>
        <w:rPr>
          <w:b/>
        </w:rPr>
      </w:pPr>
      <w:r>
        <w:rPr/>
        <w:t>Copel</w:t>
        <w:tab/>
        <w:tab/>
        <w:tab/>
        <w:tab/>
        <w:tab/>
        <w:tab/>
        <w:tab/>
        <w:tab/>
        <w:t>$   131MM</w:t>
      </w:r>
    </w:p>
    <w:p>
      <w:pPr>
        <w:pStyle w:val="Normal"/>
        <w:numPr>
          <w:ilvl w:val="0"/>
          <w:numId w:val="4"/>
        </w:numPr>
        <w:bidi w:val="0"/>
        <w:ind w:hanging="0" w:start="0" w:end="0"/>
        <w:jc w:val="start"/>
        <w:rPr>
          <w:b/>
        </w:rPr>
      </w:pPr>
      <w:r>
        <w:rPr/>
        <w:t>EccoElectica</w:t>
        <w:tab/>
        <w:tab/>
        <w:tab/>
        <w:tab/>
        <w:tab/>
        <w:tab/>
        <w:tab/>
        <w:t>$   116MM</w:t>
      </w:r>
    </w:p>
    <w:p>
      <w:pPr>
        <w:pStyle w:val="Normal"/>
        <w:numPr>
          <w:ilvl w:val="0"/>
          <w:numId w:val="4"/>
        </w:numPr>
        <w:bidi w:val="0"/>
        <w:ind w:hanging="0" w:start="0" w:end="0"/>
        <w:jc w:val="start"/>
        <w:rPr>
          <w:b/>
        </w:rPr>
      </w:pPr>
      <w:r>
        <w:rPr/>
        <w:t>Sichuan</w:t>
        <w:tab/>
        <w:tab/>
        <w:tab/>
        <w:tab/>
        <w:tab/>
        <w:tab/>
        <w:tab/>
        <w:t>$   111MM</w:t>
      </w:r>
    </w:p>
    <w:p>
      <w:pPr>
        <w:pStyle w:val="Normal"/>
        <w:numPr>
          <w:ilvl w:val="0"/>
          <w:numId w:val="4"/>
        </w:numPr>
        <w:bidi w:val="0"/>
        <w:ind w:hanging="0" w:start="0" w:end="0"/>
        <w:jc w:val="start"/>
        <w:rPr>
          <w:b/>
        </w:rPr>
      </w:pPr>
      <w:r>
        <w:rPr/>
        <w:t>Bahia</w:t>
        <w:tab/>
        <w:tab/>
        <w:tab/>
        <w:tab/>
        <w:tab/>
        <w:tab/>
        <w:tab/>
        <w:tab/>
        <w:t>$   101MM</w:t>
      </w:r>
    </w:p>
    <w:p>
      <w:pPr>
        <w:pStyle w:val="Normal"/>
        <w:numPr>
          <w:ilvl w:val="0"/>
          <w:numId w:val="4"/>
        </w:numPr>
        <w:bidi w:val="0"/>
        <w:ind w:hanging="0" w:start="0" w:end="0"/>
        <w:jc w:val="start"/>
        <w:rPr>
          <w:b/>
        </w:rPr>
      </w:pPr>
      <w:r>
        <w:rPr/>
        <w:t>Other</w:t>
        <w:tab/>
        <w:tab/>
        <w:tab/>
        <w:tab/>
        <w:tab/>
        <w:tab/>
        <w:tab/>
        <w:tab/>
      </w:r>
      <w:r>
        <w:rPr>
          <w:u w:val="single"/>
        </w:rPr>
        <w:t>$   486MM</w:t>
      </w:r>
    </w:p>
    <w:p>
      <w:pPr>
        <w:pStyle w:val="Normal"/>
        <w:bidi w:val="0"/>
        <w:ind w:hanging="0" w:start="0" w:end="0"/>
        <w:jc w:val="start"/>
        <w:rPr>
          <w:b/>
        </w:rPr>
      </w:pPr>
      <w:r>
        <w:rPr>
          <w:b/>
        </w:rPr>
        <w:t xml:space="preserve">Total </w:t>
        <w:tab/>
        <w:tab/>
        <w:tab/>
        <w:tab/>
        <w:tab/>
        <w:tab/>
        <w:tab/>
        <w:tab/>
        <w:t>$8,130MM</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b/>
        </w:rPr>
      </w:pPr>
      <w:r>
        <w:rPr>
          <w:b/>
        </w:rPr>
      </w:r>
    </w:p>
    <w:p>
      <w:pPr>
        <w:pStyle w:val="Normal"/>
        <w:bidi w:val="0"/>
        <w:ind w:hanging="0" w:start="0" w:end="0"/>
        <w:jc w:val="start"/>
        <w:rPr>
          <w:b/>
        </w:rPr>
      </w:pPr>
      <w:r>
        <w:rPr>
          <w:b/>
        </w:rPr>
      </w:r>
    </w:p>
    <w:p>
      <w:pPr>
        <w:pStyle w:val="Normal"/>
        <w:bidi w:val="0"/>
        <w:ind w:hanging="0" w:start="0" w:end="0"/>
        <w:jc w:val="start"/>
        <w:rPr/>
      </w:pPr>
      <w:r>
        <w:rPr/>
        <w:tab/>
      </w:r>
    </w:p>
    <w:p>
      <w:pPr>
        <w:pStyle w:val="Normal"/>
        <w:bidi w:val="0"/>
        <w:ind w:hanging="0" w:start="0" w:end="0"/>
        <w:jc w:val="start"/>
        <w:rPr/>
      </w:pPr>
      <w:r>
        <w:rPr/>
      </w:r>
    </w:p>
    <w:p>
      <w:pPr>
        <w:pStyle w:val="Normal"/>
        <w:bidi w:val="0"/>
        <w:ind w:hanging="0" w:start="0" w:end="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bullet"/>
      <w:lvlText w:val="•"/>
      <w:lvlJc w:val="start"/>
      <w:pPr>
        <w:tabs>
          <w:tab w:val="num" w:pos="0"/>
        </w:tabs>
        <w:ind w:start="0" w:hanging="0"/>
      </w:pPr>
      <w:rPr>
        <w:rFonts w:ascii="Times New Roman" w:hAnsi="Times New Roman" w:cs="Times New Roman" w:hint="default"/>
        <w:sz w:val="18"/>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3">
    <w:lvl w:ilvl="0">
      <w:numFmt w:val="bullet"/>
      <w:lvlText w:val="•"/>
      <w:lvlJc w:val="start"/>
      <w:pPr>
        <w:tabs>
          <w:tab w:val="num" w:pos="0"/>
        </w:tabs>
        <w:ind w:start="0" w:hanging="0"/>
      </w:pPr>
      <w:rPr>
        <w:rFonts w:ascii="Times New Roman" w:hAnsi="Times New Roman" w:cs="Times New Roman" w:hint="default"/>
        <w:sz w:val="18"/>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numFmt w:val="bullet"/>
      <w:lvlText w:val="•"/>
      <w:lvlJc w:val="start"/>
      <w:pPr>
        <w:tabs>
          <w:tab w:val="num" w:pos="0"/>
        </w:tabs>
        <w:ind w:start="0" w:hanging="0"/>
      </w:pPr>
      <w:rPr>
        <w:rFonts w:ascii="Times New Roman" w:hAnsi="Times New Roman" w:cs="Times New Roman" w:hint="default"/>
        <w:sz w:val="18"/>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Normal"/>
    <w:next w:val="Normal"/>
    <w:qFormat/>
    <w:pPr>
      <w:widowControl w:val="false"/>
      <w:ind w:hanging="0" w:start="0" w:end="0"/>
      <w:jc w:val="center"/>
      <w:textAlignment w:val="auto"/>
    </w:pPr>
    <w:rPr>
      <w:sz w:val="44"/>
      <w:lang w:val="en-US" w:eastAsia="en-US"/>
    </w:rPr>
  </w:style>
  <w:style w:type="paragraph" w:styleId="Heading2">
    <w:name w:val="heading 2"/>
    <w:basedOn w:val="Normal"/>
    <w:next w:val="Normal"/>
    <w:qFormat/>
    <w:pPr>
      <w:widowControl w:val="false"/>
      <w:ind w:hanging="270" w:start="270" w:end="0"/>
      <w:jc w:val="start"/>
      <w:textAlignment w:val="auto"/>
    </w:pPr>
    <w:rPr>
      <w:sz w:val="32"/>
      <w:lang w:val="en-US" w:eastAsia="en-US"/>
    </w:rPr>
  </w:style>
  <w:style w:type="paragraph" w:styleId="Heading3">
    <w:name w:val="heading 3"/>
    <w:basedOn w:val="Normal"/>
    <w:next w:val="Normal"/>
    <w:qFormat/>
    <w:pPr>
      <w:widowControl w:val="false"/>
      <w:ind w:hanging="225" w:start="585" w:end="0"/>
      <w:jc w:val="start"/>
      <w:textAlignment w:val="auto"/>
    </w:pPr>
    <w:rPr>
      <w:sz w:val="28"/>
      <w:lang w:val="en-US" w:eastAsia="en-US"/>
    </w:rPr>
  </w:style>
  <w:style w:type="paragraph" w:styleId="Heading4">
    <w:name w:val="heading 4"/>
    <w:basedOn w:val="Normal"/>
    <w:next w:val="Normal"/>
    <w:qFormat/>
    <w:pPr>
      <w:widowControl w:val="false"/>
      <w:ind w:hanging="180" w:start="900" w:end="0"/>
      <w:jc w:val="start"/>
      <w:textAlignment w:val="auto"/>
    </w:pPr>
    <w:rPr>
      <w:sz w:val="24"/>
      <w:lang w:val="en-US" w:eastAsia="en-US"/>
    </w:rPr>
  </w:style>
  <w:style w:type="paragraph" w:styleId="Heading5">
    <w:name w:val="heading 5"/>
    <w:basedOn w:val="Normal"/>
    <w:next w:val="Normal"/>
    <w:qFormat/>
    <w:pPr>
      <w:widowControl w:val="false"/>
      <w:ind w:hanging="180" w:start="1260" w:end="0"/>
      <w:jc w:val="start"/>
      <w:textAlignment w:val="auto"/>
    </w:pPr>
    <w:rPr>
      <w:sz w:val="20"/>
      <w:lang w:val="en-US" w:eastAsia="en-US"/>
    </w:rPr>
  </w:style>
  <w:style w:type="paragraph" w:styleId="Heading6">
    <w:name w:val="heading 6"/>
    <w:basedOn w:val="Normal"/>
    <w:next w:val="Normal"/>
    <w:qFormat/>
    <w:pPr>
      <w:widowControl w:val="false"/>
      <w:ind w:hanging="180" w:start="1620" w:end="0"/>
      <w:jc w:val="start"/>
      <w:textAlignment w:val="auto"/>
    </w:pPr>
    <w:rPr>
      <w:sz w:val="20"/>
      <w:lang w:val="en-US" w:eastAsia="en-US"/>
    </w:rPr>
  </w:style>
  <w:style w:type="paragraph" w:styleId="Heading7">
    <w:name w:val="heading 7"/>
    <w:basedOn w:val="Normal"/>
    <w:next w:val="Normal"/>
    <w:qFormat/>
    <w:pPr>
      <w:keepNext w:val="true"/>
      <w:widowControl/>
      <w:ind w:hanging="0" w:start="576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5760" w:end="0"/>
      <w:jc w:val="start"/>
      <w:textAlignment w:val="auto"/>
      <w:outlineLvl w:val="7"/>
    </w:pPr>
    <w:rPr>
      <w:b/>
      <w:sz w:val="24"/>
      <w:lang w:val="en-US" w:eastAsia="en-US"/>
    </w:rPr>
  </w:style>
  <w:style w:type="paragraph" w:styleId="Heading9">
    <w:name w:val="heading 9"/>
    <w:basedOn w:val="Normal"/>
    <w:next w:val="Normal"/>
    <w:qFormat/>
    <w:pPr>
      <w:keepNext w:val="true"/>
      <w:widowControl/>
      <w:ind w:hanging="0" w:start="0" w:end="0"/>
      <w:jc w:val="center"/>
      <w:textAlignment w:val="auto"/>
      <w:outlineLvl w:val="8"/>
    </w:pPr>
    <w:rPr>
      <w:b/>
      <w:sz w:val="24"/>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674</Words>
  <Characters>0</Characters>
  <CharactersWithSpaces>3847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2000-10-25T16:55:00Z</dcterms:created>
  <dc:creator>msczyku</dc:creator>
  <dc:description/>
  <dc:language>en-US</dc:language>
  <cp:lastModifiedBy/>
  <cp:lastPrinted>2000-10-25T14:53:00Z</cp:lastPrinted>
  <dcterms:modified xsi:type="dcterms:W3CDTF">2000-10-25T16:55:00Z</dcterms:modified>
  <cp:revision>2</cp:revision>
  <dc:subject/>
  <dc:title>RATING AGENCY MEETINGS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ECT</vt:lpwstr>
  </property>
</Properties>
</file>