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675"/>
        <w:gridCol w:w="3590"/>
        <w:gridCol w:w="3591"/>
      </w:tblGrid>
      <w:tr>
        <w:trPr/>
        <w:tc>
          <w:tcPr>
            <w:tcW w:w="8856" w:type="dxa"/>
            <w:gridSpan w:val="3"/>
            <w:tcBorders>
              <w:top w:val="single" w:sz="4" w:space="0" w:color="000000"/>
              <w:start w:val="single" w:sz="4" w:space="0" w:color="000000"/>
              <w:bottom w:val="single" w:sz="4" w:space="0" w:color="000000"/>
              <w:end w:val="single" w:sz="4" w:space="0" w:color="000000"/>
            </w:tcBorders>
            <w:shd w:fill="000000" w:val="clear"/>
          </w:tcPr>
          <w:p>
            <w:pPr>
              <w:pStyle w:val="Heading4"/>
              <w:rPr/>
            </w:pPr>
            <w:r>
              <w:rPr/>
              <w:t>RAC Status Summary as at 24 August 2001</w:t>
            </w:r>
          </w:p>
        </w:tc>
      </w:tr>
      <w:tr>
        <w:trPr/>
        <w:tc>
          <w:tcPr>
            <w:tcW w:w="1675" w:type="dxa"/>
            <w:tcBorders>
              <w:top w:val="single" w:sz="4" w:space="0" w:color="000000"/>
              <w:start w:val="single" w:sz="4" w:space="0" w:color="000000"/>
              <w:bottom w:val="single" w:sz="4" w:space="0" w:color="000000"/>
            </w:tcBorders>
          </w:tcPr>
          <w:p>
            <w:pPr>
              <w:pStyle w:val="Normal"/>
              <w:rPr>
                <w:lang w:val="en-GB"/>
              </w:rPr>
            </w:pPr>
            <w:r>
              <w:rPr>
                <w:lang w:val="en-GB"/>
              </w:rPr>
              <w:t>To</w:t>
            </w:r>
          </w:p>
        </w:tc>
        <w:tc>
          <w:tcPr>
            <w:tcW w:w="3590" w:type="dxa"/>
            <w:tcBorders>
              <w:top w:val="single" w:sz="4" w:space="0" w:color="000000"/>
              <w:bottom w:val="single" w:sz="4" w:space="0" w:color="000000"/>
            </w:tcBorders>
          </w:tcPr>
          <w:p>
            <w:pPr>
              <w:pStyle w:val="Normal"/>
              <w:rPr>
                <w:lang w:val="en-GB"/>
              </w:rPr>
            </w:pPr>
            <w:r>
              <w:rPr>
                <w:lang w:val="en-GB"/>
              </w:rPr>
              <w:t>Ted Murphy</w:t>
            </w:r>
          </w:p>
          <w:p>
            <w:pPr>
              <w:pStyle w:val="Normal"/>
              <w:rPr>
                <w:lang w:val="en-GB"/>
              </w:rPr>
            </w:pPr>
            <w:r>
              <w:rPr>
                <w:lang w:val="en-GB"/>
              </w:rPr>
              <w:t xml:space="preserve">Phil Yoxall </w:t>
            </w:r>
          </w:p>
          <w:p>
            <w:pPr>
              <w:pStyle w:val="Normal"/>
              <w:rPr>
                <w:lang w:val="en-GB"/>
              </w:rPr>
            </w:pPr>
            <w:r>
              <w:rPr>
                <w:lang w:val="en-GB"/>
              </w:rPr>
              <w:t xml:space="preserve">Bill Bradford </w:t>
            </w:r>
          </w:p>
          <w:p>
            <w:pPr>
              <w:pStyle w:val="Normal"/>
              <w:rPr>
                <w:lang w:val="en-GB"/>
              </w:rPr>
            </w:pPr>
            <w:r>
              <w:rPr>
                <w:lang w:val="en-GB"/>
              </w:rPr>
              <w:t>Debbie Brackett</w:t>
            </w:r>
          </w:p>
          <w:p>
            <w:pPr>
              <w:pStyle w:val="Normal"/>
              <w:rPr>
                <w:lang w:val="en-GB"/>
              </w:rPr>
            </w:pPr>
            <w:r>
              <w:rPr>
                <w:lang w:val="en-GB"/>
              </w:rPr>
              <w:t>Rick Buy</w:t>
            </w:r>
          </w:p>
          <w:p>
            <w:pPr>
              <w:pStyle w:val="Normal"/>
              <w:rPr>
                <w:lang w:val="en-GB"/>
              </w:rPr>
            </w:pPr>
            <w:r>
              <w:rPr>
                <w:lang w:val="en-GB"/>
              </w:rPr>
              <w:t>Michael Brown</w:t>
            </w:r>
          </w:p>
        </w:tc>
        <w:tc>
          <w:tcPr>
            <w:tcW w:w="3591" w:type="dxa"/>
            <w:tcBorders>
              <w:top w:val="single" w:sz="4" w:space="0" w:color="000000"/>
              <w:bottom w:val="single" w:sz="4" w:space="0" w:color="000000"/>
              <w:end w:val="single" w:sz="4" w:space="0" w:color="000000"/>
            </w:tcBorders>
          </w:tcPr>
          <w:p>
            <w:pPr>
              <w:pStyle w:val="Normal"/>
              <w:rPr>
                <w:lang w:val="en-GB"/>
              </w:rPr>
            </w:pPr>
            <w:r>
              <w:rPr>
                <w:lang w:val="en-GB"/>
              </w:rPr>
              <w:t>James New</w:t>
            </w:r>
          </w:p>
          <w:p>
            <w:pPr>
              <w:pStyle w:val="Normal"/>
              <w:rPr>
                <w:lang w:val="en-GB"/>
              </w:rPr>
            </w:pPr>
            <w:r>
              <w:rPr>
                <w:lang w:val="en-GB"/>
              </w:rPr>
              <w:t>Mike Jordan</w:t>
            </w:r>
          </w:p>
          <w:p>
            <w:pPr>
              <w:pStyle w:val="Normal"/>
              <w:rPr>
                <w:lang w:val="en-GB"/>
              </w:rPr>
            </w:pPr>
            <w:r>
              <w:rPr>
                <w:lang w:val="en-GB"/>
              </w:rPr>
              <w:t>Michael Kass</w:t>
            </w:r>
          </w:p>
          <w:p>
            <w:pPr>
              <w:pStyle w:val="Normal"/>
              <w:rPr>
                <w:lang w:val="en-GB"/>
              </w:rPr>
            </w:pPr>
            <w:r>
              <w:rPr>
                <w:lang w:val="en-GB"/>
              </w:rPr>
              <w:t>Sue Vasan</w:t>
            </w:r>
          </w:p>
          <w:p>
            <w:pPr>
              <w:pStyle w:val="Normal"/>
              <w:rPr>
                <w:lang w:val="en-GB"/>
              </w:rPr>
            </w:pPr>
            <w:r>
              <w:rPr>
                <w:lang w:val="en-GB"/>
              </w:rPr>
              <w:t>Fernley Dyson</w:t>
            </w:r>
          </w:p>
        </w:tc>
      </w:tr>
      <w:tr>
        <w:trPr/>
        <w:tc>
          <w:tcPr>
            <w:tcW w:w="1675" w:type="dxa"/>
            <w:tcBorders>
              <w:top w:val="single" w:sz="4" w:space="0" w:color="000000"/>
              <w:start w:val="single" w:sz="4" w:space="0" w:color="000000"/>
              <w:bottom w:val="single" w:sz="4" w:space="0" w:color="000000"/>
            </w:tcBorders>
          </w:tcPr>
          <w:p>
            <w:pPr>
              <w:pStyle w:val="Normal"/>
              <w:rPr>
                <w:lang w:val="en-GB"/>
              </w:rPr>
            </w:pPr>
            <w:r>
              <w:rPr>
                <w:lang w:val="en-GB"/>
              </w:rPr>
              <w:t>From</w:t>
            </w:r>
          </w:p>
        </w:tc>
        <w:tc>
          <w:tcPr>
            <w:tcW w:w="3590" w:type="dxa"/>
            <w:tcBorders>
              <w:top w:val="single" w:sz="4" w:space="0" w:color="000000"/>
              <w:bottom w:val="single" w:sz="4" w:space="0" w:color="000000"/>
            </w:tcBorders>
          </w:tcPr>
          <w:p>
            <w:pPr>
              <w:pStyle w:val="Normal"/>
              <w:rPr>
                <w:lang w:val="en-GB"/>
              </w:rPr>
            </w:pPr>
            <w:r>
              <w:rPr>
                <w:lang w:val="en-GB"/>
              </w:rPr>
              <w:t>David Hardy</w:t>
            </w:r>
          </w:p>
          <w:p>
            <w:pPr>
              <w:pStyle w:val="Normal"/>
              <w:rPr>
                <w:lang w:val="en-GB"/>
              </w:rPr>
            </w:pPr>
            <w:r>
              <w:rPr>
                <w:lang w:val="en-GB"/>
              </w:rPr>
              <w:t>Tricia Donnelly</w:t>
            </w:r>
          </w:p>
        </w:tc>
        <w:tc>
          <w:tcPr>
            <w:tcW w:w="3591" w:type="dxa"/>
            <w:tcBorders>
              <w:top w:val="single" w:sz="4" w:space="0" w:color="000000"/>
              <w:bottom w:val="single" w:sz="4" w:space="0" w:color="000000"/>
              <w:end w:val="single" w:sz="4" w:space="0" w:color="000000"/>
            </w:tcBorders>
          </w:tcPr>
          <w:p>
            <w:pPr>
              <w:pStyle w:val="Normal"/>
              <w:snapToGrid w:val="false"/>
              <w:rPr>
                <w:lang w:val="en-GB"/>
              </w:rPr>
            </w:pPr>
            <w:r>
              <w:rPr>
                <w:lang w:val="en-GB"/>
              </w:rPr>
            </w:r>
          </w:p>
        </w:tc>
      </w:tr>
    </w:tbl>
    <w:p>
      <w:pPr>
        <w:pStyle w:val="Heading2"/>
        <w:numPr>
          <w:ilvl w:val="0"/>
          <w:numId w:val="5"/>
        </w:numPr>
        <w:rPr>
          <w:lang w:val="en-GB"/>
        </w:rPr>
      </w:pPr>
      <w:r>
        <w:rPr>
          <w:lang w:val="en-GB"/>
        </w:rPr>
        <w:t>Mark to Market Exposures (RisktRAC)</w:t>
      </w:r>
    </w:p>
    <w:p>
      <w:pPr>
        <w:pStyle w:val="Heading2"/>
        <w:ind w:hanging="0" w:start="0"/>
        <w:rPr>
          <w:sz w:val="24"/>
          <w:lang w:val="en-GB"/>
        </w:rPr>
      </w:pPr>
      <w:r>
        <w:rPr>
          <w:sz w:val="24"/>
          <w:lang w:val="en-GB"/>
        </w:rPr>
        <w:t>IT Feeds</w:t>
      </w:r>
    </w:p>
    <w:p>
      <w:pPr>
        <w:pStyle w:val="Normal"/>
        <w:autoSpaceDE w:val="false"/>
        <w:ind w:start="720" w:end="0"/>
        <w:rPr/>
      </w:pPr>
      <w:r>
        <w:rPr>
          <w:rFonts w:cs="Arial"/>
          <w:szCs w:val="20"/>
        </w:rPr>
        <w:t xml:space="preserve">We currently provide RisktRAC with </w:t>
      </w:r>
      <w:r>
        <w:rPr>
          <w:rFonts w:cs="Arial"/>
          <w:szCs w:val="20"/>
          <w:u w:val="single"/>
        </w:rPr>
        <w:t>Enron Metals</w:t>
      </w:r>
      <w:r>
        <w:rPr>
          <w:rFonts w:cs="Arial"/>
          <w:szCs w:val="20"/>
        </w:rPr>
        <w:t xml:space="preserve"> positions ofr all 4 business units (EML, EMCL, EMCC and EMR) on the daily basis. These positions are gathered in MERCUR, which is used as repository for the data. The price and volatility data is also in Mercur but is sent to RisktRAC with the wrong granularity in respect of forward time bucketing and at the same time some commodities are missing. As we do not what to invest in the modification of the MERCUR download (system to be replaced by SALEM), we (RAC and Research) came to the conclusion that as spreadsheet feed would be more practical and economic. In order to calculate VaR in the first stage on the portfolios, which are currently not corrupted (because of OBSF positions i.e. EML), we need to provide RisktRAC with forward curves of prices and volatilities with the proper granularity. In second phase, once the positions in the AS400 are corrected, we will amend the price and volatility feed with the missing curves (some primary, some secondary curves) and will be able to calculate the proper VaR for the missing portfolios.</w:t>
      </w:r>
    </w:p>
    <w:p>
      <w:pPr>
        <w:pStyle w:val="BodyTextIndent"/>
        <w:ind w:start="0" w:end="0"/>
        <w:rPr>
          <w:rFonts w:cs="Arial"/>
          <w:b/>
          <w:bCs/>
          <w:szCs w:val="20"/>
          <w:lang w:val="en-US"/>
        </w:rPr>
      </w:pPr>
      <w:r>
        <w:rPr>
          <w:rFonts w:cs="Arial"/>
          <w:b/>
          <w:bCs/>
          <w:szCs w:val="20"/>
          <w:lang w:val="en-US"/>
        </w:rPr>
      </w:r>
    </w:p>
    <w:p>
      <w:pPr>
        <w:pStyle w:val="BodyTextIndent"/>
        <w:rPr>
          <w:b/>
          <w:bCs/>
          <w:u w:val="single"/>
          <w:lang w:val="en-US"/>
        </w:rPr>
      </w:pPr>
      <w:r>
        <w:rPr>
          <w:b/>
          <w:bCs/>
          <w:u w:val="single"/>
          <w:lang w:val="en-US"/>
        </w:rPr>
      </w:r>
    </w:p>
    <w:p>
      <w:pPr>
        <w:pStyle w:val="BodyTextIndent"/>
        <w:rPr/>
      </w:pPr>
      <w:r>
        <w:rPr>
          <w:u w:val="single"/>
          <w:lang w:val="en-US"/>
        </w:rPr>
        <w:t>Enpower</w:t>
      </w:r>
      <w:r>
        <w:rPr>
          <w:lang w:val="en-US"/>
        </w:rPr>
        <w:t xml:space="preserve"> will be calculating </w:t>
      </w:r>
      <w:r>
        <w:rPr>
          <w:u w:val="single"/>
          <w:lang w:val="en-US"/>
        </w:rPr>
        <w:t>gammas</w:t>
      </w:r>
      <w:r>
        <w:rPr>
          <w:lang w:val="en-US"/>
        </w:rPr>
        <w:t>. These will be captured in our feed to RisktRAC.</w:t>
      </w:r>
    </w:p>
    <w:p>
      <w:pPr>
        <w:pStyle w:val="BodyTextIndent"/>
        <w:rPr>
          <w:lang w:val="en-US"/>
        </w:rPr>
      </w:pPr>
      <w:r>
        <w:rPr>
          <w:lang w:val="en-US"/>
        </w:rPr>
        <w:t xml:space="preserve">We are awaiting some suitable test data from Risk Management in order to be able to test this feed thoroughly – three days clear testing in London and Houston. </w:t>
      </w:r>
    </w:p>
    <w:p>
      <w:pPr>
        <w:pStyle w:val="BodyTextIndent"/>
        <w:ind w:start="0" w:end="0"/>
        <w:rPr>
          <w:lang w:val="en-US"/>
        </w:rPr>
      </w:pPr>
      <w:r>
        <w:rPr>
          <w:lang w:val="en-US"/>
        </w:rPr>
      </w:r>
    </w:p>
    <w:p>
      <w:pPr>
        <w:pStyle w:val="Normal"/>
        <w:autoSpaceDE w:val="false"/>
        <w:ind w:start="720" w:end="0"/>
        <w:rPr>
          <w:rFonts w:cs="Arial"/>
          <w:szCs w:val="20"/>
        </w:rPr>
      </w:pPr>
      <w:r>
        <w:rPr>
          <w:u w:val="single"/>
        </w:rPr>
        <w:t>EnergyDesk</w:t>
      </w:r>
      <w:r>
        <w:rPr/>
        <w:t xml:space="preserve"> went live 22</w:t>
      </w:r>
      <w:r>
        <w:rPr>
          <w:vertAlign w:val="superscript"/>
        </w:rPr>
        <w:t>nd</w:t>
      </w:r>
      <w:r>
        <w:rPr/>
        <w:t xml:space="preserve"> August, to date there have been no major production issues impacting RisktRAC feeds.</w:t>
      </w:r>
    </w:p>
    <w:p>
      <w:pPr>
        <w:pStyle w:val="Normal"/>
        <w:autoSpaceDE w:val="false"/>
        <w:rPr>
          <w:rFonts w:cs="Arial"/>
          <w:szCs w:val="20"/>
        </w:rPr>
      </w:pPr>
      <w:r>
        <w:rPr>
          <w:rFonts w:cs="Arial"/>
          <w:szCs w:val="20"/>
        </w:rPr>
      </w:r>
    </w:p>
    <w:p>
      <w:pPr>
        <w:pStyle w:val="BodyTextIndent"/>
        <w:rPr/>
      </w:pPr>
      <w:r>
        <w:rPr>
          <w:u w:val="single"/>
        </w:rPr>
        <w:t xml:space="preserve">GasDesk </w:t>
      </w:r>
      <w:r>
        <w:rPr/>
        <w:t>as a long-term solution will feed EnLighten, rather than RisktRAC directly. RAC IT to liaise with GasDesk team to work towards an implementation plan</w:t>
      </w:r>
    </w:p>
    <w:p>
      <w:pPr>
        <w:pStyle w:val="BodyTextIndent"/>
        <w:rPr>
          <w:rFonts w:cs="Arial"/>
          <w:szCs w:val="20"/>
        </w:rPr>
      </w:pPr>
      <w:r>
        <w:rPr>
          <w:rFonts w:cs="Arial"/>
          <w:szCs w:val="20"/>
        </w:rPr>
      </w:r>
    </w:p>
    <w:p>
      <w:pPr>
        <w:pStyle w:val="Normal"/>
        <w:autoSpaceDE w:val="false"/>
        <w:ind w:start="720" w:end="0"/>
        <w:rPr/>
      </w:pPr>
      <w:r>
        <w:rPr>
          <w:rFonts w:cs="Arial"/>
          <w:szCs w:val="20"/>
        </w:rPr>
        <w:t xml:space="preserve">A multi-currency file from GasDesk is in CAS test. The Gas Volatility </w:t>
      </w:r>
      <w:r>
        <w:rPr>
          <w:rFonts w:cs="Arial"/>
          <w:szCs w:val="20"/>
          <w:u w:val="single"/>
        </w:rPr>
        <w:t>Curves</w:t>
      </w:r>
      <w:r>
        <w:rPr>
          <w:rFonts w:cs="Arial"/>
          <w:szCs w:val="20"/>
        </w:rPr>
        <w:t xml:space="preserve"> in our extract feed are incorrect. </w:t>
      </w:r>
      <w:r>
        <w:rPr>
          <w:szCs w:val="20"/>
        </w:rPr>
        <w:t xml:space="preserve">GasDesk does not have a straight relationship between its price curves and its volatility curves, making the retrieval of the latter difficult for the RAC feed. Resourcing issues have delayed a proper fix, however we plan to tackle it over the next two weeks. </w:t>
      </w:r>
    </w:p>
    <w:p>
      <w:pPr>
        <w:pStyle w:val="Normal"/>
        <w:autoSpaceDE w:val="false"/>
        <w:ind w:start="720" w:end="0"/>
        <w:rPr>
          <w:rFonts w:cs="Arial"/>
          <w:szCs w:val="20"/>
        </w:rPr>
      </w:pPr>
      <w:r>
        <w:rPr>
          <w:rFonts w:cs="Arial"/>
          <w:szCs w:val="20"/>
        </w:rPr>
      </w:r>
    </w:p>
    <w:p>
      <w:pPr>
        <w:pStyle w:val="Normal"/>
        <w:autoSpaceDE w:val="false"/>
        <w:ind w:start="720" w:end="0"/>
        <w:rPr/>
      </w:pPr>
      <w:r>
        <w:rPr>
          <w:rFonts w:cs="Arial"/>
          <w:szCs w:val="20"/>
        </w:rPr>
        <w:t>GasDesk has gone multicurrency, though issues arose due to a non-</w:t>
      </w:r>
      <w:r>
        <w:rPr/>
        <w:t>globally compliant currency being sent which RisktRAC did not</w:t>
      </w:r>
      <w:r>
        <w:rPr>
          <w:lang w:val="en-GB"/>
        </w:rPr>
        <w:t xml:space="preserve"> recognise</w:t>
      </w:r>
      <w:r>
        <w:rPr/>
        <w:t>. This was because the GasDesk failed</w:t>
      </w:r>
      <w:r>
        <w:rPr>
          <w:rFonts w:cs="Arial"/>
          <w:szCs w:val="20"/>
        </w:rPr>
        <w:t xml:space="preserve"> to update the RisktRAC feed "view" in production, this has now been rectified.</w:t>
      </w:r>
    </w:p>
    <w:p>
      <w:pPr>
        <w:pStyle w:val="BodyTextIndent"/>
        <w:ind w:start="0" w:end="0"/>
        <w:rPr>
          <w:lang w:val="en-US"/>
        </w:rPr>
      </w:pPr>
      <w:r>
        <w:rPr>
          <w:lang w:val="en-US"/>
        </w:rPr>
      </w:r>
    </w:p>
    <w:p>
      <w:pPr>
        <w:pStyle w:val="BodyTextIndent"/>
        <w:rPr/>
      </w:pPr>
      <w:r>
        <w:rPr/>
        <w:t xml:space="preserve">The feed from </w:t>
      </w:r>
      <w:r>
        <w:rPr>
          <w:u w:val="single"/>
        </w:rPr>
        <w:t>EES</w:t>
      </w:r>
      <w:r>
        <w:rPr/>
        <w:t xml:space="preserve"> is built, and is now being UAT’d.</w:t>
      </w:r>
    </w:p>
    <w:p>
      <w:pPr>
        <w:pStyle w:val="BodyTextIndent"/>
        <w:rPr/>
      </w:pPr>
      <w:r>
        <w:rPr/>
      </w:r>
    </w:p>
    <w:p>
      <w:pPr>
        <w:pStyle w:val="BodyTextIndent"/>
        <w:autoSpaceDE w:val="false"/>
        <w:rPr/>
      </w:pPr>
      <w:r>
        <w:rPr>
          <w:rFonts w:cs="Arial"/>
          <w:szCs w:val="20"/>
        </w:rPr>
        <w:t xml:space="preserve">The EnFibre roll out for </w:t>
      </w:r>
      <w:r>
        <w:rPr>
          <w:rFonts w:cs="Arial"/>
          <w:szCs w:val="20"/>
          <w:u w:val="single"/>
        </w:rPr>
        <w:t>EBS</w:t>
      </w:r>
      <w:r>
        <w:rPr>
          <w:rFonts w:cs="Arial"/>
          <w:szCs w:val="20"/>
        </w:rPr>
        <w:t xml:space="preserve"> (Europe) is delayed. As an interim solution, </w:t>
      </w:r>
      <w:r>
        <w:rPr/>
        <w:t>EBS feed is being sent over daily to Gary Stadler, who uploads it as part of his daily curve update routine. Position files will require a small number of changes that are currently being worked on by Risk Management Operations.</w:t>
      </w:r>
    </w:p>
    <w:p>
      <w:pPr>
        <w:pStyle w:val="BodyTextIndent"/>
        <w:autoSpaceDE w:val="false"/>
        <w:rPr/>
      </w:pPr>
      <w:r>
        <w:rPr/>
        <w:t>A portfolio structure needs to be set up in RisktRAC by Houston Risk Management</w:t>
      </w:r>
    </w:p>
    <w:p>
      <w:pPr>
        <w:pStyle w:val="BodyTextIndent"/>
        <w:autoSpaceDE w:val="false"/>
        <w:ind w:start="0" w:end="0"/>
        <w:rPr/>
      </w:pPr>
      <w:r>
        <w:rPr/>
      </w:r>
    </w:p>
    <w:p>
      <w:pPr>
        <w:pStyle w:val="BodyTextIndent"/>
        <w:autoSpaceDE w:val="false"/>
        <w:rPr/>
      </w:pPr>
      <w:r>
        <w:rPr>
          <w:u w:val="single"/>
        </w:rPr>
        <w:t xml:space="preserve">Power Curve Repository </w:t>
      </w:r>
      <w:r>
        <w:rPr/>
        <w:t>– objective is to provide a robust, monitored and streamlined process that will feed Houston with RisktRAC data in a timely manner for both UK and Continental Power. Key deliverables will include:</w:t>
      </w:r>
    </w:p>
    <w:p>
      <w:pPr>
        <w:pStyle w:val="BodyTextIndent"/>
        <w:numPr>
          <w:ilvl w:val="0"/>
          <w:numId w:val="8"/>
        </w:numPr>
        <w:autoSpaceDE w:val="false"/>
        <w:rPr>
          <w:rFonts w:cs="Arial"/>
          <w:szCs w:val="20"/>
        </w:rPr>
      </w:pPr>
      <w:r>
        <w:rPr>
          <w:rFonts w:cs="Arial"/>
          <w:szCs w:val="20"/>
        </w:rPr>
        <w:t>Streamlined MTM process</w:t>
      </w:r>
    </w:p>
    <w:p>
      <w:pPr>
        <w:pStyle w:val="BodyTextIndent"/>
        <w:numPr>
          <w:ilvl w:val="0"/>
          <w:numId w:val="8"/>
        </w:numPr>
        <w:autoSpaceDE w:val="false"/>
        <w:rPr>
          <w:rFonts w:cs="Arial"/>
          <w:szCs w:val="20"/>
        </w:rPr>
      </w:pPr>
      <w:r>
        <w:rPr>
          <w:rFonts w:cs="Arial"/>
          <w:szCs w:val="20"/>
        </w:rPr>
        <w:t>Single code base</w:t>
      </w:r>
    </w:p>
    <w:p>
      <w:pPr>
        <w:pStyle w:val="BodyTextIndent"/>
        <w:numPr>
          <w:ilvl w:val="0"/>
          <w:numId w:val="8"/>
        </w:numPr>
        <w:autoSpaceDE w:val="false"/>
        <w:rPr>
          <w:rFonts w:cs="Arial"/>
          <w:szCs w:val="20"/>
        </w:rPr>
      </w:pPr>
      <w:r>
        <w:rPr>
          <w:rFonts w:cs="Arial"/>
          <w:szCs w:val="20"/>
        </w:rPr>
        <w:t>Single point of contact in the event of system failure</w:t>
      </w:r>
    </w:p>
    <w:p>
      <w:pPr>
        <w:pStyle w:val="BodyTextIndent"/>
        <w:numPr>
          <w:ilvl w:val="0"/>
          <w:numId w:val="8"/>
        </w:numPr>
        <w:autoSpaceDE w:val="false"/>
        <w:rPr>
          <w:rFonts w:cs="Arial"/>
          <w:szCs w:val="20"/>
        </w:rPr>
      </w:pPr>
      <w:r>
        <w:rPr>
          <w:rFonts w:cs="Arial"/>
          <w:szCs w:val="20"/>
        </w:rPr>
        <w:t>All Power curves in the Central Curves Repository</w:t>
      </w:r>
    </w:p>
    <w:p>
      <w:pPr>
        <w:pStyle w:val="BodyTextIndent"/>
        <w:numPr>
          <w:ilvl w:val="0"/>
          <w:numId w:val="8"/>
        </w:numPr>
        <w:autoSpaceDE w:val="false"/>
        <w:rPr>
          <w:rFonts w:cs="Arial"/>
          <w:szCs w:val="20"/>
        </w:rPr>
      </w:pPr>
      <w:r>
        <w:rPr>
          <w:rFonts w:cs="Arial"/>
          <w:szCs w:val="20"/>
        </w:rPr>
        <w:t>Elimination of legacy SQL Server 6.5 databases</w:t>
      </w:r>
    </w:p>
    <w:p>
      <w:pPr>
        <w:pStyle w:val="BodyTextIndent"/>
        <w:numPr>
          <w:ilvl w:val="0"/>
          <w:numId w:val="8"/>
        </w:numPr>
        <w:autoSpaceDE w:val="false"/>
        <w:rPr>
          <w:rFonts w:cs="Arial"/>
          <w:b/>
          <w:bCs/>
          <w:szCs w:val="20"/>
        </w:rPr>
      </w:pPr>
      <w:r>
        <w:rPr>
          <w:rFonts w:cs="Arial"/>
          <w:szCs w:val="20"/>
        </w:rPr>
        <w:t>Full monitored production process</w:t>
      </w:r>
    </w:p>
    <w:p>
      <w:pPr>
        <w:pStyle w:val="BodyTextIndent"/>
        <w:autoSpaceDE w:val="false"/>
        <w:ind w:start="1080" w:end="0"/>
        <w:rPr>
          <w:rFonts w:cs="Arial"/>
          <w:b/>
          <w:bCs/>
          <w:szCs w:val="20"/>
        </w:rPr>
      </w:pPr>
      <w:r>
        <w:rPr>
          <w:rFonts w:cs="Arial"/>
          <w:b/>
          <w:bCs/>
          <w:szCs w:val="20"/>
        </w:rPr>
      </w:r>
    </w:p>
    <w:p>
      <w:pPr>
        <w:pStyle w:val="BodyTextIndent"/>
        <w:autoSpaceDE w:val="false"/>
        <w:rPr>
          <w:rFonts w:cs="Arial"/>
          <w:szCs w:val="20"/>
        </w:rPr>
      </w:pPr>
      <w:r>
        <w:rPr>
          <w:rFonts w:cs="Arial"/>
          <w:szCs w:val="20"/>
        </w:rPr>
        <w:t>Slow progress on curve repository due to lack of data for testing coupled with network and server issues.</w:t>
      </w:r>
    </w:p>
    <w:p>
      <w:pPr>
        <w:pStyle w:val="BodyTextIndent"/>
        <w:autoSpaceDE w:val="false"/>
        <w:rPr>
          <w:rFonts w:cs="Arial"/>
          <w:b/>
          <w:bCs/>
          <w:szCs w:val="20"/>
        </w:rPr>
      </w:pPr>
      <w:r>
        <w:rPr>
          <w:rFonts w:cs="Arial"/>
          <w:szCs w:val="20"/>
        </w:rPr>
        <w:t>Suitable test data should be available next week.</w:t>
      </w:r>
    </w:p>
    <w:p>
      <w:pPr>
        <w:pStyle w:val="BodyText"/>
        <w:ind w:start="720" w:end="0"/>
        <w:rPr>
          <w:rFonts w:cs="Arial"/>
          <w:b/>
          <w:bCs/>
          <w:szCs w:val="20"/>
        </w:rPr>
      </w:pPr>
      <w:r>
        <w:rPr>
          <w:rFonts w:cs="Arial"/>
          <w:b/>
          <w:bCs/>
          <w:szCs w:val="20"/>
        </w:rPr>
      </w:r>
    </w:p>
    <w:p>
      <w:pPr>
        <w:pStyle w:val="BodyText"/>
        <w:ind w:start="720" w:end="0"/>
        <w:rPr>
          <w:u w:val="single"/>
        </w:rPr>
      </w:pPr>
      <w:r>
        <w:rPr>
          <w:u w:val="single"/>
        </w:rPr>
        <w:t>Eastern VPS</w:t>
      </w:r>
      <w:r>
        <w:rPr/>
        <w:t xml:space="preserve"> is migrating to Socrates evaluation engine</w:t>
      </w:r>
    </w:p>
    <w:p>
      <w:pPr>
        <w:pStyle w:val="BodyTextIndent"/>
        <w:autoSpaceDE w:val="false"/>
        <w:rPr>
          <w:rFonts w:cs="Arial"/>
          <w:szCs w:val="20"/>
          <w:u w:val="single"/>
        </w:rPr>
      </w:pPr>
      <w:r>
        <w:rPr>
          <w:rFonts w:cs="Arial"/>
          <w:szCs w:val="20"/>
          <w:u w:val="single"/>
        </w:rPr>
      </w:r>
    </w:p>
    <w:p>
      <w:pPr>
        <w:pStyle w:val="BodyTextIndent"/>
        <w:autoSpaceDE w:val="false"/>
        <w:rPr>
          <w:rFonts w:cs="Arial"/>
          <w:szCs w:val="20"/>
          <w:u w:val="single"/>
        </w:rPr>
      </w:pPr>
      <w:r>
        <w:rPr>
          <w:rFonts w:cs="Arial"/>
          <w:szCs w:val="20"/>
          <w:u w:val="single"/>
        </w:rPr>
        <w:t>Web Reconciler</w:t>
      </w:r>
    </w:p>
    <w:p>
      <w:pPr>
        <w:pStyle w:val="BodyTextIndent"/>
        <w:autoSpaceDE w:val="false"/>
        <w:ind w:start="0" w:end="0"/>
        <w:rPr>
          <w:rFonts w:cs="Arial"/>
          <w:szCs w:val="20"/>
        </w:rPr>
      </w:pPr>
      <w:r>
        <w:rPr>
          <w:rFonts w:cs="Arial"/>
          <w:szCs w:val="20"/>
        </w:rPr>
        <w:tab/>
        <w:t xml:space="preserve">RM have requested a reconciliation process to be carried out daily through the RAC web </w:t>
        <w:tab/>
        <w:tab/>
        <w:t>page. The purpose is to reconcile what the books are feeding into RisktRAC in terms of</w:t>
        <w:tab/>
        <w:tab/>
        <w:t>their daily Delta and Gamma (where applicable) volumes against what is in their DPR.</w:t>
      </w:r>
    </w:p>
    <w:p>
      <w:pPr>
        <w:pStyle w:val="BodyTextIndent"/>
        <w:autoSpaceDE w:val="false"/>
        <w:ind w:start="0" w:end="0"/>
        <w:rPr>
          <w:rFonts w:cs="Arial"/>
          <w:szCs w:val="20"/>
        </w:rPr>
      </w:pPr>
      <w:r>
        <w:rPr>
          <w:rFonts w:cs="Arial"/>
          <w:szCs w:val="20"/>
        </w:rPr>
        <w:tab/>
        <w:t xml:space="preserve">Work is ongoing to establish the most effective and simple way of gathering the data from </w:t>
        <w:tab/>
        <w:t>the various DPRs and load this into the web page.</w:t>
      </w:r>
    </w:p>
    <w:p>
      <w:pPr>
        <w:pStyle w:val="BodyTextIndent"/>
        <w:autoSpaceDE w:val="false"/>
        <w:ind w:start="0" w:end="0"/>
        <w:rPr>
          <w:rFonts w:cs="Arial"/>
          <w:szCs w:val="20"/>
        </w:rPr>
      </w:pPr>
      <w:r>
        <w:rPr>
          <w:rFonts w:cs="Arial"/>
          <w:szCs w:val="20"/>
        </w:rPr>
        <w:tab/>
        <w:t>Meeting scheduled with RM to finalise the process and format of the page.</w:t>
      </w:r>
    </w:p>
    <w:p>
      <w:pPr>
        <w:pStyle w:val="BodyTextIndent"/>
        <w:autoSpaceDE w:val="false"/>
        <w:ind w:start="0" w:end="0"/>
        <w:rPr>
          <w:rFonts w:cs="Arial"/>
          <w:szCs w:val="20"/>
          <w:u w:val="single"/>
        </w:rPr>
      </w:pPr>
      <w:r>
        <w:rPr>
          <w:rFonts w:cs="Arial"/>
          <w:szCs w:val="20"/>
        </w:rPr>
        <w:tab/>
      </w:r>
    </w:p>
    <w:p>
      <w:pPr>
        <w:pStyle w:val="BodyTextIndent"/>
        <w:autoSpaceDE w:val="false"/>
        <w:ind w:firstLine="720" w:start="0" w:end="0"/>
        <w:rPr>
          <w:rFonts w:cs="Arial"/>
          <w:szCs w:val="20"/>
          <w:u w:val="single"/>
        </w:rPr>
      </w:pPr>
      <w:r>
        <w:rPr>
          <w:rFonts w:cs="Arial"/>
          <w:szCs w:val="20"/>
          <w:u w:val="single"/>
        </w:rPr>
        <w:t>Infrastructure</w:t>
      </w:r>
    </w:p>
    <w:p>
      <w:pPr>
        <w:pStyle w:val="BodyTextIndent"/>
        <w:autoSpaceDE w:val="false"/>
        <w:rPr>
          <w:rFonts w:cs="Arial"/>
          <w:szCs w:val="20"/>
        </w:rPr>
      </w:pPr>
      <w:r>
        <w:rPr>
          <w:rFonts w:cs="Arial"/>
          <w:szCs w:val="20"/>
        </w:rPr>
        <w:t>New, architecture is now fully implemented, overall this will mean that the feeds process is more robust and the there is more error reporting functionality</w:t>
      </w:r>
    </w:p>
    <w:p>
      <w:pPr>
        <w:pStyle w:val="BodyTextIndent"/>
        <w:autoSpaceDE w:val="false"/>
        <w:rPr>
          <w:rFonts w:cs="Arial"/>
          <w:b/>
          <w:bCs/>
          <w:szCs w:val="20"/>
        </w:rPr>
      </w:pPr>
      <w:r>
        <w:rPr>
          <w:rFonts w:eastAsia="Arial" w:cs="Arial"/>
          <w:szCs w:val="20"/>
        </w:rPr>
        <w:t xml:space="preserve"> </w:t>
      </w:r>
    </w:p>
    <w:p>
      <w:pPr>
        <w:pStyle w:val="Heading2"/>
        <w:ind w:hanging="0" w:start="0"/>
        <w:rPr>
          <w:sz w:val="24"/>
        </w:rPr>
      </w:pPr>
      <w:r>
        <w:rPr>
          <w:sz w:val="24"/>
        </w:rPr>
        <w:t>SALEM Programme for Metals</w:t>
      </w:r>
    </w:p>
    <w:p>
      <w:pPr>
        <w:pStyle w:val="BodyTextIndent"/>
        <w:rPr>
          <w:lang w:val="en-US"/>
        </w:rPr>
      </w:pPr>
      <w:r>
        <w:rPr>
          <w:lang w:val="en-US"/>
        </w:rPr>
        <w:t xml:space="preserve">We have completed the user requirements for the Credit and Market Risk Feeds to RisktRAC and CAS for EML &amp; EMCL. It remains to be decided how Germany (Recycling) and NY (Concentrates) will be fed in the longer-term. </w:t>
      </w:r>
    </w:p>
    <w:p>
      <w:pPr>
        <w:pStyle w:val="BodyTextIndent"/>
        <w:rPr>
          <w:rFonts w:cs="Arial"/>
          <w:lang w:val="en-US"/>
        </w:rPr>
      </w:pPr>
      <w:r>
        <w:rPr>
          <w:rFonts w:cs="Arial"/>
          <w:lang w:val="en-US"/>
        </w:rPr>
      </w:r>
    </w:p>
    <w:p>
      <w:pPr>
        <w:pStyle w:val="BodyTextIndent"/>
        <w:rPr>
          <w:rFonts w:cs="Arial"/>
        </w:rPr>
      </w:pPr>
      <w:r>
        <w:rPr>
          <w:rFonts w:cs="Arial"/>
        </w:rPr>
        <w:t>Credit and Market Risk Functional Specification sign off has been delayed due to issues from Enlighten and Evaluation / Curve Process – Full sign off is expected by next week.</w:t>
      </w:r>
    </w:p>
    <w:p>
      <w:pPr>
        <w:pStyle w:val="BodyTextIndent"/>
        <w:rPr>
          <w:rFonts w:cs="Arial"/>
        </w:rPr>
      </w:pPr>
      <w:r>
        <w:rPr>
          <w:rFonts w:cs="Arial"/>
        </w:rPr>
      </w:r>
    </w:p>
    <w:p>
      <w:pPr>
        <w:pStyle w:val="BodyTextIndent"/>
        <w:rPr>
          <w:rFonts w:cs="Arial"/>
        </w:rPr>
      </w:pPr>
      <w:r>
        <w:rPr>
          <w:rFonts w:cs="Arial"/>
        </w:rPr>
        <w:t xml:space="preserve">A test plan has been published for review </w:t>
      </w:r>
    </w:p>
    <w:p>
      <w:pPr>
        <w:pStyle w:val="BodyTextIndent"/>
        <w:rPr>
          <w:rFonts w:cs="Arial"/>
        </w:rPr>
      </w:pPr>
      <w:r>
        <w:rPr>
          <w:rFonts w:cs="Arial"/>
        </w:rPr>
      </w:r>
    </w:p>
    <w:p>
      <w:pPr>
        <w:pStyle w:val="BodyTextIndent"/>
        <w:rPr>
          <w:rFonts w:cs="Arial"/>
        </w:rPr>
      </w:pPr>
      <w:r>
        <w:rPr>
          <w:rFonts w:cs="Arial"/>
        </w:rPr>
        <w:t>BPR workshops have taken place this week.</w:t>
      </w:r>
    </w:p>
    <w:p>
      <w:pPr>
        <w:pStyle w:val="BodyTextIndent"/>
        <w:rPr>
          <w:rFonts w:cs="Arial"/>
        </w:rPr>
      </w:pPr>
      <w:r>
        <w:rPr>
          <w:rFonts w:cs="Arial"/>
        </w:rPr>
      </w:r>
    </w:p>
    <w:p>
      <w:pPr>
        <w:pStyle w:val="BodyTextIndent"/>
        <w:rPr>
          <w:rFonts w:cs="Arial"/>
          <w:u w:val="single"/>
        </w:rPr>
      </w:pPr>
      <w:r>
        <w:rPr>
          <w:rFonts w:cs="Arial"/>
          <w:u w:val="single"/>
        </w:rPr>
        <w:t>CREDIT RISK – Physical</w:t>
      </w:r>
    </w:p>
    <w:p>
      <w:pPr>
        <w:pStyle w:val="BodyTextIndent"/>
        <w:numPr>
          <w:ilvl w:val="0"/>
          <w:numId w:val="4"/>
        </w:numPr>
        <w:rPr>
          <w:rFonts w:cs="Arial"/>
        </w:rPr>
      </w:pPr>
      <w:r>
        <w:rPr>
          <w:rFonts w:cs="Arial"/>
        </w:rPr>
        <w:t>All receivable and payable physical deals traded need to be reported in CAS to provide accurate counterparty exposure details.</w:t>
      </w:r>
    </w:p>
    <w:p>
      <w:pPr>
        <w:pStyle w:val="BodyTextIndent"/>
        <w:numPr>
          <w:ilvl w:val="1"/>
          <w:numId w:val="4"/>
        </w:numPr>
        <w:rPr>
          <w:rFonts w:cs="Arial"/>
        </w:rPr>
      </w:pPr>
      <w:r>
        <w:rPr>
          <w:rFonts w:cs="Arial"/>
        </w:rPr>
        <w:t>MtM Exposures</w:t>
      </w:r>
    </w:p>
    <w:p>
      <w:pPr>
        <w:pStyle w:val="BodyTextIndent"/>
        <w:numPr>
          <w:ilvl w:val="1"/>
          <w:numId w:val="4"/>
        </w:numPr>
        <w:rPr>
          <w:rFonts w:cs="Arial"/>
        </w:rPr>
      </w:pPr>
      <w:r>
        <w:rPr>
          <w:rFonts w:cs="Arial"/>
        </w:rPr>
        <w:t>Delivered &amp; Unpaid Exposures</w:t>
      </w:r>
    </w:p>
    <w:p>
      <w:pPr>
        <w:pStyle w:val="BodyTextIndent"/>
        <w:numPr>
          <w:ilvl w:val="2"/>
          <w:numId w:val="4"/>
        </w:numPr>
        <w:rPr>
          <w:rFonts w:cs="Arial"/>
        </w:rPr>
      </w:pPr>
      <w:r>
        <w:rPr>
          <w:rFonts w:cs="Arial"/>
        </w:rPr>
        <w:t>Uninvoiced</w:t>
      </w:r>
    </w:p>
    <w:p>
      <w:pPr>
        <w:pStyle w:val="BodyTextIndent"/>
        <w:numPr>
          <w:ilvl w:val="2"/>
          <w:numId w:val="4"/>
        </w:numPr>
        <w:rPr>
          <w:rFonts w:cs="Arial"/>
        </w:rPr>
      </w:pPr>
      <w:r>
        <w:rPr>
          <w:rFonts w:cs="Arial"/>
        </w:rPr>
        <w:t>Invoiced</w:t>
      </w:r>
    </w:p>
    <w:p>
      <w:pPr>
        <w:pStyle w:val="BodyTextIndent"/>
        <w:numPr>
          <w:ilvl w:val="0"/>
          <w:numId w:val="4"/>
        </w:numPr>
        <w:rPr>
          <w:rFonts w:cs="Arial"/>
        </w:rPr>
      </w:pPr>
      <w:r>
        <w:rPr>
          <w:rFonts w:cs="Arial"/>
        </w:rPr>
        <w:t>Capture consignment stocks against a counterparty and hold a maximum limit.</w:t>
      </w:r>
    </w:p>
    <w:p>
      <w:pPr>
        <w:pStyle w:val="BodyTextIndent"/>
        <w:numPr>
          <w:ilvl w:val="0"/>
          <w:numId w:val="4"/>
        </w:numPr>
        <w:rPr>
          <w:rFonts w:cs="Arial"/>
        </w:rPr>
      </w:pPr>
      <w:r>
        <w:rPr>
          <w:rFonts w:cs="Arial"/>
        </w:rPr>
        <w:t>Capture OBSF details against a bank.</w:t>
      </w:r>
    </w:p>
    <w:p>
      <w:pPr>
        <w:pStyle w:val="BodyTextIndent"/>
        <w:numPr>
          <w:ilvl w:val="0"/>
          <w:numId w:val="4"/>
        </w:numPr>
        <w:rPr>
          <w:rFonts w:cs="Arial"/>
        </w:rPr>
      </w:pPr>
      <w:r>
        <w:rPr>
          <w:rFonts w:cs="Arial"/>
        </w:rPr>
        <w:t>Capture forward commitment exposures.</w:t>
      </w:r>
    </w:p>
    <w:p>
      <w:pPr>
        <w:pStyle w:val="BodyTextIndent"/>
        <w:numPr>
          <w:ilvl w:val="0"/>
          <w:numId w:val="4"/>
        </w:numPr>
        <w:rPr>
          <w:rFonts w:cs="Arial"/>
        </w:rPr>
      </w:pPr>
      <w:r>
        <w:rPr>
          <w:rFonts w:cs="Arial"/>
        </w:rPr>
        <w:t>Capture counterparty settlement details.</w:t>
      </w:r>
    </w:p>
    <w:p>
      <w:pPr>
        <w:pStyle w:val="BodyTextIndent"/>
        <w:rPr>
          <w:rFonts w:cs="Arial"/>
        </w:rPr>
      </w:pPr>
      <w:r>
        <w:rPr>
          <w:rFonts w:cs="Arial"/>
        </w:rPr>
      </w:r>
    </w:p>
    <w:p>
      <w:pPr>
        <w:pStyle w:val="BodyTextIndent"/>
        <w:rPr>
          <w:rFonts w:cs="Arial"/>
        </w:rPr>
      </w:pPr>
      <w:r>
        <w:rPr>
          <w:rFonts w:cs="Arial"/>
          <w:u w:val="single"/>
        </w:rPr>
        <w:t>CREDIT RISK – Financial</w:t>
      </w:r>
    </w:p>
    <w:p>
      <w:pPr>
        <w:pStyle w:val="BodyTextIndent"/>
        <w:numPr>
          <w:ilvl w:val="0"/>
          <w:numId w:val="3"/>
        </w:numPr>
        <w:rPr>
          <w:rFonts w:cs="Arial"/>
        </w:rPr>
      </w:pPr>
      <w:r>
        <w:rPr>
          <w:rFonts w:cs="Arial"/>
        </w:rPr>
        <w:t>All financial deals traded need to be reported in RisktRAC &amp; CAS to provide accurate counterparty exposure details.</w:t>
      </w:r>
    </w:p>
    <w:p>
      <w:pPr>
        <w:pStyle w:val="BodyTextIndent"/>
        <w:numPr>
          <w:ilvl w:val="1"/>
          <w:numId w:val="4"/>
        </w:numPr>
        <w:rPr>
          <w:rFonts w:cs="Arial"/>
        </w:rPr>
      </w:pPr>
      <w:r>
        <w:rPr>
          <w:rFonts w:cs="Arial"/>
        </w:rPr>
        <w:t>MtM Exposures</w:t>
      </w:r>
    </w:p>
    <w:p>
      <w:pPr>
        <w:pStyle w:val="BodyTextIndent"/>
        <w:numPr>
          <w:ilvl w:val="1"/>
          <w:numId w:val="4"/>
        </w:numPr>
        <w:rPr>
          <w:rFonts w:cs="Arial"/>
        </w:rPr>
      </w:pPr>
      <w:r>
        <w:rPr>
          <w:rFonts w:cs="Arial"/>
        </w:rPr>
        <w:t>Delivered &amp; Unpaid Exposures</w:t>
      </w:r>
    </w:p>
    <w:p>
      <w:pPr>
        <w:pStyle w:val="BodyTextIndent"/>
        <w:numPr>
          <w:ilvl w:val="2"/>
          <w:numId w:val="4"/>
        </w:numPr>
        <w:rPr>
          <w:rFonts w:cs="Arial"/>
        </w:rPr>
      </w:pPr>
      <w:r>
        <w:rPr>
          <w:rFonts w:cs="Arial"/>
        </w:rPr>
        <w:t>Uninvoiced</w:t>
      </w:r>
    </w:p>
    <w:p>
      <w:pPr>
        <w:pStyle w:val="BodyTextIndent"/>
        <w:numPr>
          <w:ilvl w:val="2"/>
          <w:numId w:val="4"/>
        </w:numPr>
        <w:rPr>
          <w:rFonts w:cs="Arial"/>
        </w:rPr>
      </w:pPr>
      <w:r>
        <w:rPr>
          <w:rFonts w:cs="Arial"/>
        </w:rPr>
        <w:t>Invoiced</w:t>
      </w:r>
    </w:p>
    <w:p>
      <w:pPr>
        <w:pStyle w:val="BodyTextIndent"/>
        <w:numPr>
          <w:ilvl w:val="0"/>
          <w:numId w:val="4"/>
        </w:numPr>
        <w:rPr>
          <w:rFonts w:cs="Arial"/>
        </w:rPr>
      </w:pPr>
      <w:r>
        <w:rPr>
          <w:rFonts w:cs="Arial"/>
        </w:rPr>
        <w:t>Capture counterparty settlement information and ensure that this is distinguished from margin calls.</w:t>
      </w:r>
    </w:p>
    <w:p>
      <w:pPr>
        <w:pStyle w:val="BodyTextIndent"/>
        <w:numPr>
          <w:ilvl w:val="0"/>
          <w:numId w:val="4"/>
        </w:numPr>
        <w:rPr>
          <w:rFonts w:cs="Arial"/>
        </w:rPr>
      </w:pPr>
      <w:r>
        <w:rPr>
          <w:rFonts w:cs="Arial"/>
        </w:rPr>
        <w:t>Margin Calls - CAS will contain the margin calls made by EML, but will not calculate the margin. An exception to this will be made for Counterparties trading under an ISDA.</w:t>
      </w:r>
    </w:p>
    <w:p>
      <w:pPr>
        <w:pStyle w:val="BodyTextIndent"/>
        <w:numPr>
          <w:ilvl w:val="1"/>
          <w:numId w:val="4"/>
        </w:numPr>
        <w:rPr>
          <w:rFonts w:cs="Arial"/>
        </w:rPr>
      </w:pPr>
      <w:r>
        <w:rPr>
          <w:rFonts w:cs="Arial"/>
        </w:rPr>
        <w:t>Initial Margin call placed by Counterparty.</w:t>
      </w:r>
    </w:p>
    <w:p>
      <w:pPr>
        <w:pStyle w:val="BodyTextIndent"/>
        <w:numPr>
          <w:ilvl w:val="1"/>
          <w:numId w:val="4"/>
        </w:numPr>
        <w:rPr>
          <w:rFonts w:cs="Arial"/>
        </w:rPr>
      </w:pPr>
      <w:r>
        <w:rPr>
          <w:rFonts w:cs="Arial"/>
        </w:rPr>
        <w:t>Variation Margin by Counterparty</w:t>
      </w:r>
    </w:p>
    <w:p>
      <w:pPr>
        <w:pStyle w:val="BodyTextIndent"/>
        <w:rPr>
          <w:rFonts w:cs="Arial"/>
        </w:rPr>
      </w:pPr>
      <w:r>
        <w:rPr>
          <w:rFonts w:cs="Arial"/>
        </w:rPr>
      </w:r>
    </w:p>
    <w:p>
      <w:pPr>
        <w:pStyle w:val="BodyTextIndent"/>
        <w:rPr>
          <w:rFonts w:cs="Arial"/>
        </w:rPr>
      </w:pPr>
      <w:r>
        <w:rPr>
          <w:rFonts w:cs="Arial"/>
          <w:u w:val="single"/>
        </w:rPr>
        <w:t>MARKET RISK - Physical &amp; Financial</w:t>
      </w:r>
    </w:p>
    <w:p>
      <w:pPr>
        <w:pStyle w:val="BodyTextIndent"/>
        <w:numPr>
          <w:ilvl w:val="0"/>
          <w:numId w:val="6"/>
        </w:numPr>
        <w:rPr>
          <w:rFonts w:cs="Arial"/>
        </w:rPr>
      </w:pPr>
      <w:r>
        <w:rPr>
          <w:rFonts w:cs="Arial"/>
        </w:rPr>
        <w:t>Capture Enron Metals positions by commodity, instrument, trader, and desk.</w:t>
      </w:r>
    </w:p>
    <w:p>
      <w:pPr>
        <w:pStyle w:val="BodyTextIndent"/>
        <w:numPr>
          <w:ilvl w:val="0"/>
          <w:numId w:val="6"/>
        </w:numPr>
        <w:rPr>
          <w:rFonts w:cs="Arial"/>
        </w:rPr>
      </w:pPr>
      <w:r>
        <w:rPr>
          <w:rFonts w:cs="Arial"/>
        </w:rPr>
        <w:t>Capture Enron Metals price curves by commodity.</w:t>
      </w:r>
    </w:p>
    <w:p>
      <w:pPr>
        <w:pStyle w:val="BodyTextIndent"/>
        <w:numPr>
          <w:ilvl w:val="0"/>
          <w:numId w:val="6"/>
        </w:numPr>
        <w:rPr>
          <w:rFonts w:cs="Arial"/>
        </w:rPr>
      </w:pPr>
      <w:r>
        <w:rPr>
          <w:rFonts w:cs="Arial"/>
        </w:rPr>
        <w:t>Capture implied and historical volatility curves.</w:t>
      </w:r>
    </w:p>
    <w:p>
      <w:pPr>
        <w:pStyle w:val="BodyTextIndent"/>
        <w:numPr>
          <w:ilvl w:val="0"/>
          <w:numId w:val="6"/>
        </w:numPr>
        <w:rPr>
          <w:lang w:val="en-US"/>
        </w:rPr>
      </w:pPr>
      <w:r>
        <w:rPr>
          <w:rFonts w:cs="Arial"/>
        </w:rPr>
        <w:t>Enron Metals to provide RisktRAC with appropriate option risk parameters for each option.</w:t>
      </w:r>
    </w:p>
    <w:p>
      <w:pPr>
        <w:pStyle w:val="BodyTextIndent"/>
        <w:numPr>
          <w:ilvl w:val="0"/>
          <w:numId w:val="6"/>
        </w:numPr>
        <w:rPr/>
      </w:pPr>
      <w:r>
        <w:rPr/>
        <w:t>There is a requirement to be able to view portfolios by trading desk and / or by trader.</w:t>
      </w:r>
    </w:p>
    <w:p>
      <w:pPr>
        <w:pStyle w:val="Heading2"/>
        <w:ind w:hanging="0" w:start="0"/>
        <w:rPr>
          <w:sz w:val="24"/>
        </w:rPr>
      </w:pPr>
      <w:r>
        <w:rPr>
          <w:sz w:val="24"/>
        </w:rPr>
        <w:t>Feed Performance</w:t>
      </w:r>
    </w:p>
    <w:p>
      <w:pPr>
        <w:pStyle w:val="Heading3"/>
        <w:rPr>
          <w:b w:val="false"/>
          <w:bCs w:val="false"/>
          <w:lang w:val="en-GB"/>
        </w:rPr>
      </w:pPr>
      <w:r>
        <w:rPr>
          <w:b w:val="false"/>
          <w:bCs w:val="false"/>
          <w:lang w:val="en-GB"/>
        </w:rPr>
        <w:t>Performance Record for Feeds to RisktRAC &amp; CAS</w:t>
      </w:r>
    </w:p>
    <w:p>
      <w:pPr>
        <w:pStyle w:val="Heading3"/>
        <w:rPr>
          <w:b w:val="false"/>
          <w:bCs w:val="false"/>
          <w:lang w:val="en-GB"/>
        </w:rPr>
      </w:pPr>
      <w:r>
        <w:rPr>
          <w:b w:val="false"/>
          <w:bCs w:val="false"/>
          <w:lang w:val="en-GB"/>
        </w:rPr>
        <w:t xml:space="preserve">For the two period to 24 Aug </w:t>
      </w:r>
    </w:p>
    <w:p>
      <w:pPr>
        <w:pStyle w:val="Normal"/>
        <w:rPr>
          <w:b/>
          <w:bCs/>
          <w:lang w:val="en-GB"/>
        </w:rPr>
      </w:pPr>
      <w:r>
        <w:rPr>
          <w:b/>
          <w:bCs/>
          <w:lang w:val="en-GB"/>
        </w:rPr>
      </w:r>
    </w:p>
    <w:tbl>
      <w:tblPr>
        <w:tblW w:w="8957" w:type="dxa"/>
        <w:jc w:val="start"/>
        <w:tblInd w:w="0" w:type="dxa"/>
        <w:tblLayout w:type="fixed"/>
        <w:tblCellMar>
          <w:top w:w="0" w:type="dxa"/>
          <w:start w:w="108" w:type="dxa"/>
          <w:bottom w:w="0" w:type="dxa"/>
          <w:end w:w="108" w:type="dxa"/>
        </w:tblCellMar>
      </w:tblPr>
      <w:tblGrid>
        <w:gridCol w:w="1529"/>
        <w:gridCol w:w="1495"/>
        <w:gridCol w:w="5933"/>
      </w:tblGrid>
      <w:tr>
        <w:trPr/>
        <w:tc>
          <w:tcPr>
            <w:tcW w:w="1529"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lang w:val="en-GB"/>
              </w:rPr>
            </w:pPr>
            <w:r>
              <w:rPr>
                <w:color w:val="FFFFFF"/>
                <w:lang w:val="en-GB"/>
              </w:rPr>
              <w:t>Reporting Date</w:t>
            </w:r>
          </w:p>
        </w:tc>
        <w:tc>
          <w:tcPr>
            <w:tcW w:w="7428" w:type="dxa"/>
            <w:gridSpan w:val="2"/>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lang w:val="en-GB"/>
              </w:rPr>
            </w:pPr>
            <w:r>
              <w:rPr>
                <w:color w:val="FFFFFF"/>
                <w:lang w:val="en-GB"/>
              </w:rPr>
              <w:t>Performance</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Mon 30</w:t>
            </w:r>
            <w:r>
              <w:rPr>
                <w:vertAlign w:val="superscript"/>
                <w:lang w:val="en-GB"/>
              </w:rPr>
              <w:t>th</w:t>
            </w:r>
            <w:r>
              <w:rPr>
                <w:lang w:val="en-GB"/>
              </w:rPr>
              <w:t xml:space="preserve"> July</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UK Power </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Loaded slightly late but still made the first VaR run.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Tue 31</w:t>
            </w:r>
            <w:r>
              <w:rPr>
                <w:vertAlign w:val="superscript"/>
                <w:lang w:val="en-GB"/>
              </w:rPr>
              <w:t>st</w:t>
            </w:r>
            <w:r>
              <w:rPr>
                <w:lang w:val="en-GB"/>
              </w:rPr>
              <w:t xml:space="preserve"> July</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into RisktRAC. The overnight mtm run did not include any figures for Nordic futures positions.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Wed 1</w:t>
            </w:r>
            <w:r>
              <w:rPr>
                <w:vertAlign w:val="superscript"/>
                <w:lang w:val="en-GB"/>
              </w:rPr>
              <w:t>st</w:t>
            </w:r>
            <w:r>
              <w:rPr>
                <w:lang w:val="en-GB"/>
              </w:rPr>
              <w:t xml:space="preserve"> Aug</w:t>
            </w:r>
          </w:p>
        </w:tc>
        <w:tc>
          <w:tcPr>
            <w:tcW w:w="742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No failures</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Thurs 2</w:t>
            </w:r>
            <w:r>
              <w:rPr>
                <w:vertAlign w:val="superscript"/>
                <w:lang w:val="en-GB"/>
              </w:rPr>
              <w:t>nd</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UK Power</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Officialisation delayed due to investigation responding to trader query.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Fri 3</w:t>
            </w:r>
            <w:r>
              <w:rPr>
                <w:vertAlign w:val="superscript"/>
                <w:lang w:val="en-GB"/>
              </w:rPr>
              <w:t>rd</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because the overnight only included the FX hedge positions.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Mon 6</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UK Power</w:t>
              <w:br/>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in Houston because clashed with Nordic Power and Continental Power books, thus slowing down the process.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Tue 7</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UK Power</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in Houston because it clashed with Nordic Power and UK Gas.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Wed 8</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 xml:space="preserve">Loaded late because the overnight run did not include mtm figures for all Nordic positions.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Thur 9</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Normal"/>
              <w:autoSpaceDE w:val="false"/>
              <w:rPr>
                <w:lang w:val="en-GB"/>
              </w:rPr>
            </w:pPr>
            <w:r>
              <w:rPr>
                <w:lang w:val="en-GB"/>
              </w:rPr>
              <w:t xml:space="preserve">Loaded late because the overnight run failed and had to be re-run in the morning.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Fri 10</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Loaded late because of congestion in feed upload process – UK and Eastern loading at the same time</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Mon 13</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Loaded later due to congestion in the feed upload process, UK Power book loading at the same time</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Tues 14</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 failures</w:t>
            </w:r>
          </w:p>
        </w:tc>
        <w:tc>
          <w:tcPr>
            <w:tcW w:w="5933" w:type="dxa"/>
            <w:tcBorders>
              <w:top w:val="single" w:sz="4" w:space="0" w:color="000000"/>
              <w:start w:val="single" w:sz="4" w:space="0" w:color="000000"/>
              <w:bottom w:val="single" w:sz="4" w:space="0" w:color="000000"/>
              <w:end w:val="single" w:sz="4" w:space="0" w:color="000000"/>
            </w:tcBorders>
          </w:tcPr>
          <w:p>
            <w:pPr>
              <w:pStyle w:val="Normal"/>
              <w:snapToGrid w:val="false"/>
              <w:ind w:start="36" w:end="0"/>
              <w:rPr>
                <w:lang w:val="en-GB"/>
              </w:rPr>
            </w:pPr>
            <w:r>
              <w:rPr>
                <w:lang w:val="en-GB"/>
              </w:rPr>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Wed 15</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Eastern 1 &amp; 2</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 xml:space="preserve">An overnight server problem caused the data from previous day to roll over rather than the correct day; hence, UK curve import did not run. </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Thurs 16</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Eastern 1 &amp; 2</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Loaded late due to late Officialisation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UK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Feed failed whilst compiling curve data so file was late loading to RisktRAC.</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Fri 17</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 failures</w:t>
            </w:r>
          </w:p>
        </w:tc>
        <w:tc>
          <w:tcPr>
            <w:tcW w:w="5933" w:type="dxa"/>
            <w:tcBorders>
              <w:top w:val="single" w:sz="4" w:space="0" w:color="000000"/>
              <w:start w:val="single" w:sz="4" w:space="0" w:color="000000"/>
              <w:bottom w:val="single" w:sz="4" w:space="0" w:color="000000"/>
              <w:end w:val="single" w:sz="4" w:space="0" w:color="000000"/>
            </w:tcBorders>
          </w:tcPr>
          <w:p>
            <w:pPr>
              <w:pStyle w:val="Normal"/>
              <w:snapToGrid w:val="false"/>
              <w:ind w:start="36" w:end="0"/>
              <w:rPr>
                <w:lang w:val="en-GB"/>
              </w:rPr>
            </w:pPr>
            <w:r>
              <w:rPr>
                <w:lang w:val="en-GB"/>
              </w:rPr>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Mon 20</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Eastern 1 &amp; 2</w:t>
            </w:r>
          </w:p>
        </w:tc>
        <w:tc>
          <w:tcPr>
            <w:tcW w:w="5933" w:type="dxa"/>
            <w:tcBorders>
              <w:top w:val="single" w:sz="4" w:space="0" w:color="000000"/>
              <w:start w:val="single" w:sz="4" w:space="0" w:color="000000"/>
              <w:bottom w:val="single" w:sz="4" w:space="0" w:color="000000"/>
              <w:end w:val="single" w:sz="4" w:space="0" w:color="000000"/>
            </w:tcBorders>
          </w:tcPr>
          <w:p>
            <w:pPr>
              <w:pStyle w:val="Heading6"/>
              <w:rPr>
                <w:b w:val="false"/>
                <w:bCs w:val="false"/>
              </w:rPr>
            </w:pPr>
            <w:r>
              <w:rPr>
                <w:b w:val="false"/>
                <w:bCs w:val="false"/>
              </w:rPr>
              <w:t>Loaded late as a consequence of Friday’s network shut down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lang w:val="en-GB"/>
              </w:rPr>
            </w:pPr>
            <w:r>
              <w:rPr>
                <w:b w:val="false"/>
                <w:bCs w:val="false"/>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UK Power</w:t>
            </w:r>
          </w:p>
        </w:tc>
        <w:tc>
          <w:tcPr>
            <w:tcW w:w="5933" w:type="dxa"/>
            <w:tcBorders>
              <w:top w:val="single" w:sz="4" w:space="0" w:color="000000"/>
              <w:start w:val="single" w:sz="4" w:space="0" w:color="000000"/>
              <w:bottom w:val="single" w:sz="4" w:space="0" w:color="000000"/>
              <w:end w:val="single" w:sz="4" w:space="0" w:color="000000"/>
            </w:tcBorders>
          </w:tcPr>
          <w:p>
            <w:pPr>
              <w:pStyle w:val="Heading6"/>
              <w:rPr>
                <w:b w:val="false"/>
                <w:bCs w:val="false"/>
              </w:rPr>
            </w:pPr>
            <w:r>
              <w:rPr>
                <w:b w:val="false"/>
                <w:bCs w:val="false"/>
              </w:rPr>
              <w:t>Loaded late due to congestion as Nordic Power and UK Gas book feeds running at the same time</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lang w:val="en-GB"/>
              </w:rPr>
            </w:pPr>
            <w:r>
              <w:rPr>
                <w:b w:val="false"/>
                <w:bCs w:val="false"/>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GB"/>
              </w:rPr>
            </w:pPr>
            <w:r>
              <w:rPr>
                <w:lang w:val="en-GB"/>
              </w:rPr>
              <w:t>Continental Power</w:t>
            </w:r>
          </w:p>
        </w:tc>
        <w:tc>
          <w:tcPr>
            <w:tcW w:w="5933" w:type="dxa"/>
            <w:tcBorders>
              <w:top w:val="single" w:sz="4" w:space="0" w:color="000000"/>
              <w:start w:val="single" w:sz="4" w:space="0" w:color="000000"/>
              <w:bottom w:val="single" w:sz="4" w:space="0" w:color="000000"/>
              <w:end w:val="single" w:sz="4" w:space="0" w:color="000000"/>
            </w:tcBorders>
          </w:tcPr>
          <w:p>
            <w:pPr>
              <w:pStyle w:val="Heading6"/>
              <w:rPr>
                <w:b w:val="false"/>
                <w:bCs w:val="false"/>
              </w:rPr>
            </w:pPr>
            <w:r>
              <w:rPr>
                <w:b w:val="false"/>
                <w:bCs w:val="false"/>
              </w:rPr>
              <w:t>Due to Network failure on Monday, Dove’s FTP connection to the curve repository (Unit Box) failed and by default reverted to previous day’s closing information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Tues 21</w:t>
            </w:r>
            <w:r>
              <w:rPr>
                <w:vertAlign w:val="superscript"/>
                <w:lang w:val="en-GB"/>
              </w:rPr>
              <w:t>st</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Loaded late due to congestion in the upload process to RisktRAC in Houston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Wed 22</w:t>
            </w:r>
            <w:r>
              <w:rPr>
                <w:vertAlign w:val="superscript"/>
                <w:lang w:val="en-GB"/>
              </w:rPr>
              <w:t>nd</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 failures</w:t>
            </w:r>
          </w:p>
        </w:tc>
        <w:tc>
          <w:tcPr>
            <w:tcW w:w="5933" w:type="dxa"/>
            <w:tcBorders>
              <w:top w:val="single" w:sz="4" w:space="0" w:color="000000"/>
              <w:start w:val="single" w:sz="4" w:space="0" w:color="000000"/>
              <w:bottom w:val="single" w:sz="4" w:space="0" w:color="000000"/>
              <w:end w:val="single" w:sz="4" w:space="0" w:color="000000"/>
            </w:tcBorders>
          </w:tcPr>
          <w:p>
            <w:pPr>
              <w:pStyle w:val="Normal"/>
              <w:snapToGrid w:val="false"/>
              <w:ind w:start="36" w:end="0"/>
              <w:rPr>
                <w:lang w:val="en-GB"/>
              </w:rPr>
            </w:pPr>
            <w:r>
              <w:rPr>
                <w:lang w:val="en-GB"/>
              </w:rPr>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Thur 23</w:t>
            </w:r>
            <w:r>
              <w:rPr>
                <w:vertAlign w:val="superscript"/>
                <w:lang w:val="en-GB"/>
              </w:rPr>
              <w:t>rd</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CSS Book</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Unable to officialise due to login/password error in Metalcalc system</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UK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Loaded slightly late, due to busy servers at time of feeds</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rPr/>
            </w:pPr>
            <w:r>
              <w:rPr>
                <w:lang w:val="en-GB"/>
              </w:rPr>
              <w:t>Fri 24</w:t>
            </w:r>
            <w:r>
              <w:rPr>
                <w:vertAlign w:val="superscript"/>
                <w:lang w:val="en-GB"/>
              </w:rPr>
              <w:t>th</w:t>
            </w:r>
            <w:r>
              <w:rPr>
                <w:lang w:val="en-GB"/>
              </w:rPr>
              <w:t xml:space="preserve"> Aug</w:t>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UK Power &amp; Spreadsheets</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Overnight EnPower MTM did not run (continuing effects of Red Alert virus), UK Power book was officialised late and VaR was re-run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Nordic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Late officialisation due to server issues causing FTP to RisktRAC to slow down</w:t>
            </w:r>
          </w:p>
        </w:tc>
      </w:tr>
      <w:tr>
        <w:trPr/>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c>
          <w:tcPr>
            <w:tcW w:w="1495"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Continental Power</w:t>
            </w:r>
          </w:p>
        </w:tc>
        <w:tc>
          <w:tcPr>
            <w:tcW w:w="5933" w:type="dxa"/>
            <w:tcBorders>
              <w:top w:val="single" w:sz="4" w:space="0" w:color="000000"/>
              <w:start w:val="single" w:sz="4" w:space="0" w:color="000000"/>
              <w:bottom w:val="single" w:sz="4" w:space="0" w:color="000000"/>
              <w:end w:val="single" w:sz="4" w:space="0" w:color="000000"/>
            </w:tcBorders>
          </w:tcPr>
          <w:p>
            <w:pPr>
              <w:pStyle w:val="Normal"/>
              <w:ind w:start="36" w:end="0"/>
              <w:rPr>
                <w:lang w:val="en-GB"/>
              </w:rPr>
            </w:pPr>
            <w:r>
              <w:rPr>
                <w:lang w:val="en-GB"/>
              </w:rPr>
              <w:t>As for UK Power, overnight MTM did not run, MTM has since been run and VaR re-run</w:t>
            </w:r>
          </w:p>
        </w:tc>
      </w:tr>
    </w:tbl>
    <w:p>
      <w:pPr>
        <w:pStyle w:val="BodyText"/>
        <w:ind w:start="720" w:end="0"/>
        <w:rPr/>
      </w:pPr>
      <w:r>
        <w:rPr/>
      </w:r>
    </w:p>
    <w:p>
      <w:pPr>
        <w:pStyle w:val="Heading2"/>
        <w:ind w:hanging="0" w:start="0"/>
        <w:rPr>
          <w:sz w:val="24"/>
        </w:rPr>
      </w:pPr>
      <w:r>
        <w:rPr>
          <w:sz w:val="24"/>
        </w:rPr>
        <w:t>Data Sourcing</w:t>
      </w:r>
    </w:p>
    <w:p>
      <w:pPr>
        <w:pStyle w:val="Normal"/>
        <w:autoSpaceDE w:val="false"/>
        <w:ind w:start="720" w:end="0"/>
        <w:jc w:val="both"/>
        <w:rPr>
          <w:rFonts w:cs="Arial"/>
          <w:color w:val="000000"/>
          <w:sz w:val="24"/>
          <w:szCs w:val="20"/>
          <w:u w:val="single"/>
          <w:lang w:val="en-GB"/>
        </w:rPr>
      </w:pPr>
      <w:r>
        <w:rPr>
          <w:rFonts w:cs="Arial"/>
          <w:color w:val="000000"/>
          <w:sz w:val="24"/>
          <w:szCs w:val="20"/>
          <w:u w:val="single"/>
          <w:lang w:val="en-GB"/>
        </w:rPr>
      </w:r>
    </w:p>
    <w:p>
      <w:pPr>
        <w:pStyle w:val="Normal"/>
        <w:autoSpaceDE w:val="false"/>
        <w:ind w:start="720" w:end="0"/>
        <w:jc w:val="both"/>
        <w:rPr>
          <w:rFonts w:cs="Arial"/>
          <w:color w:val="000000"/>
          <w:szCs w:val="20"/>
          <w:lang w:val="en-GB"/>
        </w:rPr>
      </w:pPr>
      <w:r>
        <w:rPr>
          <w:rFonts w:cs="Arial"/>
          <w:color w:val="000000"/>
          <w:szCs w:val="20"/>
          <w:lang w:val="en-GB"/>
        </w:rPr>
        <w:t>Prioritisation meeting took place this week between RAC and RM.</w:t>
      </w:r>
    </w:p>
    <w:p>
      <w:pPr>
        <w:pStyle w:val="Normal"/>
        <w:autoSpaceDE w:val="false"/>
        <w:ind w:start="720" w:end="0"/>
        <w:jc w:val="both"/>
        <w:rPr>
          <w:rFonts w:cs="Arial"/>
          <w:color w:val="000000"/>
          <w:szCs w:val="20"/>
          <w:lang w:val="en-GB"/>
        </w:rPr>
      </w:pPr>
      <w:r>
        <w:rPr>
          <w:rFonts w:cs="Arial"/>
          <w:color w:val="000000"/>
          <w:szCs w:val="20"/>
          <w:lang w:val="en-GB"/>
        </w:rPr>
        <w:t>RM have documented the data flows of the structured deals and have prioritised the work from their side.</w:t>
      </w:r>
    </w:p>
    <w:p>
      <w:pPr>
        <w:pStyle w:val="Normal"/>
        <w:autoSpaceDE w:val="false"/>
        <w:ind w:start="720" w:end="0"/>
        <w:jc w:val="both"/>
        <w:rPr>
          <w:rFonts w:cs="Arial"/>
          <w:color w:val="000000"/>
          <w:szCs w:val="20"/>
          <w:lang w:val="en-GB"/>
        </w:rPr>
      </w:pPr>
      <w:r>
        <w:rPr>
          <w:rFonts w:cs="Arial"/>
          <w:color w:val="000000"/>
          <w:szCs w:val="20"/>
          <w:lang w:val="en-GB"/>
        </w:rPr>
      </w:r>
    </w:p>
    <w:p>
      <w:pPr>
        <w:pStyle w:val="Normal"/>
        <w:autoSpaceDE w:val="false"/>
        <w:ind w:start="720" w:end="0"/>
        <w:jc w:val="both"/>
        <w:rPr>
          <w:rFonts w:cs="Arial"/>
          <w:color w:val="000000"/>
          <w:szCs w:val="20"/>
          <w:lang w:val="en-GB"/>
        </w:rPr>
      </w:pPr>
      <w:r>
        <w:rPr>
          <w:rFonts w:cs="Arial"/>
          <w:color w:val="000000"/>
          <w:szCs w:val="20"/>
          <w:lang w:val="en-GB"/>
        </w:rPr>
        <w:t>The books they have identified as ‘Quick Wins’ are – Manx, Interconnector, Wessex (cashflows and deltas), J Block (cashflows and deltas not by counterparty), and Watershed (delta and cashflow information by counterparty for customer deals only).</w:t>
      </w:r>
    </w:p>
    <w:p>
      <w:pPr>
        <w:pStyle w:val="Normal"/>
        <w:autoSpaceDE w:val="false"/>
        <w:ind w:start="720" w:end="0"/>
        <w:jc w:val="both"/>
        <w:rPr>
          <w:rFonts w:cs="Arial"/>
          <w:color w:val="000000"/>
          <w:szCs w:val="20"/>
          <w:lang w:val="en-GB"/>
        </w:rPr>
      </w:pPr>
      <w:r>
        <w:rPr>
          <w:rFonts w:cs="Arial"/>
          <w:color w:val="000000"/>
          <w:szCs w:val="20"/>
          <w:lang w:val="en-GB"/>
        </w:rPr>
        <w:t>It is hoped that this work can be completed in the next 2-3 months. Spreadsheets will use the four file format to feed into RisktRAC.</w:t>
      </w:r>
    </w:p>
    <w:p>
      <w:pPr>
        <w:pStyle w:val="Normal"/>
        <w:autoSpaceDE w:val="false"/>
        <w:rPr>
          <w:rFonts w:cs="Arial"/>
          <w:color w:val="000000"/>
          <w:szCs w:val="20"/>
          <w:lang w:val="en-GB"/>
        </w:rPr>
      </w:pPr>
      <w:r>
        <w:rPr>
          <w:rFonts w:cs="Arial"/>
          <w:color w:val="000000"/>
          <w:szCs w:val="20"/>
          <w:lang w:val="en-GB"/>
        </w:rPr>
      </w:r>
    </w:p>
    <w:p>
      <w:pPr>
        <w:pStyle w:val="Normal"/>
        <w:autoSpaceDE w:val="false"/>
        <w:rPr/>
      </w:pPr>
      <w:r>
        <w:rPr/>
        <w:tab/>
        <w:t>Refer to attached schedule for details.</w:t>
      </w:r>
    </w:p>
    <w:p>
      <w:pPr>
        <w:pStyle w:val="Normal"/>
        <w:autoSpaceDE w:val="false"/>
        <w:rPr/>
      </w:pPr>
      <w:r>
        <w:rPr/>
      </w:r>
    </w:p>
    <w:p>
      <w:pPr>
        <w:pStyle w:val="Heading1"/>
        <w:numPr>
          <w:ilvl w:val="0"/>
          <w:numId w:val="5"/>
        </w:numPr>
        <w:rPr>
          <w:i/>
          <w:i/>
          <w:iCs/>
          <w:sz w:val="28"/>
          <w:lang w:val="en-GB"/>
        </w:rPr>
      </w:pPr>
      <w:r>
        <w:rPr>
          <w:i/>
          <w:iCs/>
          <w:sz w:val="28"/>
          <w:lang w:val="en-GB"/>
        </w:rPr>
        <w:t>Credit Exposures (CAS)</w:t>
      </w:r>
    </w:p>
    <w:p>
      <w:pPr>
        <w:pStyle w:val="Normal"/>
        <w:numPr>
          <w:ilvl w:val="0"/>
          <w:numId w:val="2"/>
        </w:numPr>
        <w:rPr>
          <w:b/>
          <w:bCs/>
          <w:sz w:val="24"/>
          <w:lang w:val="en-GB"/>
        </w:rPr>
      </w:pPr>
      <w:r>
        <w:rPr>
          <w:b/>
          <w:bCs/>
          <w:sz w:val="24"/>
          <w:lang w:val="en-GB"/>
        </w:rPr>
        <w:t>IT feeds</w:t>
      </w:r>
    </w:p>
    <w:p>
      <w:pPr>
        <w:pStyle w:val="Normal"/>
        <w:rPr>
          <w:rFonts w:cs="Arial"/>
          <w:b/>
          <w:bCs/>
          <w:sz w:val="24"/>
          <w:lang w:val="en-GB"/>
        </w:rPr>
      </w:pPr>
      <w:r>
        <w:rPr>
          <w:rFonts w:cs="Arial"/>
          <w:b/>
          <w:bCs/>
          <w:sz w:val="24"/>
          <w:lang w:val="en-GB"/>
        </w:rPr>
      </w:r>
    </w:p>
    <w:p>
      <w:pPr>
        <w:pStyle w:val="Normal"/>
        <w:autoSpaceDE w:val="false"/>
        <w:spacing w:lineRule="atLeast" w:line="240"/>
        <w:ind w:start="720" w:end="0"/>
        <w:rPr/>
      </w:pPr>
      <w:r>
        <w:rPr>
          <w:lang w:val="en-GB"/>
        </w:rPr>
        <w:t xml:space="preserve">We are developing a feed from the </w:t>
      </w:r>
      <w:r>
        <w:rPr>
          <w:u w:val="single"/>
          <w:lang w:val="en-GB"/>
        </w:rPr>
        <w:t>UK and Continental Power Settlement</w:t>
      </w:r>
      <w:r>
        <w:rPr>
          <w:lang w:val="en-GB"/>
        </w:rPr>
        <w:t xml:space="preserve"> systems. This feed will only deliver data at a counterparty level, as that is all that is available from the legacy settlement systems, Boss &amp; LOM. We have built the “Delivered Not Invoiced” feed from BOSS, which we are currently unit testing. We are liasing with the settlements department who are redesigning their accrual process. Our feed will potentially require rewrite to accommodate the business changes. A settlements feed for UK Gas and Continental Gas has also been built from </w:t>
      </w:r>
      <w:r>
        <w:rPr>
          <w:u w:val="single"/>
          <w:lang w:val="en-GB"/>
        </w:rPr>
        <w:t>EnVoice to CAS</w:t>
      </w:r>
      <w:r>
        <w:rPr>
          <w:lang w:val="en-GB"/>
        </w:rPr>
        <w:t xml:space="preserve">. </w:t>
      </w:r>
    </w:p>
    <w:p>
      <w:pPr>
        <w:pStyle w:val="Normal"/>
        <w:autoSpaceDE w:val="false"/>
        <w:spacing w:lineRule="atLeast" w:line="240"/>
        <w:ind w:start="720" w:end="0"/>
        <w:rPr>
          <w:lang w:val="en-GB"/>
        </w:rPr>
      </w:pPr>
      <w:r>
        <w:rPr>
          <w:lang w:val="en-GB"/>
        </w:rPr>
      </w:r>
    </w:p>
    <w:p>
      <w:pPr>
        <w:pStyle w:val="Normal"/>
        <w:autoSpaceDE w:val="false"/>
        <w:spacing w:lineRule="atLeast" w:line="240"/>
        <w:ind w:start="720" w:end="0"/>
        <w:rPr/>
      </w:pPr>
      <w:r>
        <w:rPr>
          <w:lang w:val="en-GB"/>
        </w:rPr>
        <w:t>UK and Continental Gas feeds to CAS are built, and are being tested, feed will go into CAS test week commencing 27</w:t>
      </w:r>
      <w:r>
        <w:rPr>
          <w:vertAlign w:val="superscript"/>
          <w:lang w:val="en-GB"/>
        </w:rPr>
        <w:t>th</w:t>
      </w:r>
      <w:r>
        <w:rPr>
          <w:lang w:val="en-GB"/>
        </w:rPr>
        <w:t xml:space="preserve"> August. Some issues have arisen during testing. These issues have been discussed between RAC and Settlements and agreement has been reached to concentrate only on the exposure that relates to the most recent production month on the assumption that all other transactions should have been invoiced in the previous settlements cycle and hence will be picked up from the feed from SAP to CAS</w:t>
      </w:r>
    </w:p>
    <w:p>
      <w:pPr>
        <w:pStyle w:val="Heading3"/>
        <w:numPr>
          <w:ilvl w:val="0"/>
          <w:numId w:val="2"/>
        </w:numPr>
        <w:rPr>
          <w:b w:val="false"/>
          <w:bCs w:val="false"/>
        </w:rPr>
      </w:pPr>
      <w:r>
        <w:rPr/>
        <w:t>SAP</w:t>
      </w:r>
    </w:p>
    <w:p>
      <w:pPr>
        <w:pStyle w:val="BodyTextIndent"/>
        <w:rPr/>
      </w:pPr>
      <w:r>
        <w:rPr/>
        <w:t>A new accrual process is planned for implementation with August 2001 production month in September 2001. This process will ensure full and complete records of buy trades for each production month in SAP.</w:t>
      </w:r>
    </w:p>
    <w:p>
      <w:pPr>
        <w:pStyle w:val="BodyTextIndent"/>
        <w:rPr>
          <w:i/>
          <w:i/>
          <w:iCs/>
          <w:color w:val="0000FF"/>
        </w:rPr>
      </w:pPr>
      <w:r>
        <w:rPr>
          <w:rFonts w:eastAsia="Arial"/>
        </w:rPr>
        <w:t xml:space="preserve"> </w:t>
      </w:r>
    </w:p>
    <w:p>
      <w:pPr>
        <w:pStyle w:val="Normal"/>
        <w:ind w:start="1080" w:end="0"/>
        <w:rPr>
          <w:i/>
          <w:i/>
          <w:iCs/>
          <w:color w:val="0000FF"/>
          <w:lang w:val="en-GB"/>
        </w:rPr>
      </w:pPr>
      <w:r>
        <w:rPr>
          <w:i/>
          <w:iCs/>
          <w:color w:val="0000FF"/>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ind w:start="1080" w:end="0"/>
        <w:rPr>
          <w:lang w:val="en-GB"/>
        </w:rPr>
      </w:pPr>
      <w:r>
        <w:rPr>
          <w:lang w:val="en-GB"/>
        </w:rPr>
      </w:r>
    </w:p>
    <w:p>
      <w:pPr>
        <w:pStyle w:val="Normal"/>
        <w:ind w:start="1080" w:end="0"/>
        <w:rPr>
          <w:lang w:val="en-GB"/>
        </w:rPr>
      </w:pPr>
      <w:r>
        <w:rPr>
          <w:lang w:val="en-GB"/>
        </w:rPr>
      </w:r>
    </w:p>
    <w:tbl>
      <w:tblPr>
        <w:tblW w:w="13692" w:type="dxa"/>
        <w:jc w:val="start"/>
        <w:tblInd w:w="0" w:type="dxa"/>
        <w:tblLayout w:type="fixed"/>
        <w:tblCellMar>
          <w:top w:w="0" w:type="dxa"/>
          <w:start w:w="0" w:type="dxa"/>
          <w:bottom w:w="0" w:type="dxa"/>
          <w:end w:w="0" w:type="dxa"/>
        </w:tblCellMar>
      </w:tblPr>
      <w:tblGrid>
        <w:gridCol w:w="213"/>
        <w:gridCol w:w="6783"/>
        <w:gridCol w:w="756"/>
        <w:gridCol w:w="1316"/>
        <w:gridCol w:w="1696"/>
        <w:gridCol w:w="976"/>
        <w:gridCol w:w="976"/>
        <w:gridCol w:w="976"/>
      </w:tblGrid>
      <w:tr>
        <w:trPr>
          <w:trHeight w:val="315" w:hRule="atLeast"/>
        </w:trPr>
        <w:tc>
          <w:tcPr>
            <w:tcW w:w="6996" w:type="dxa"/>
            <w:gridSpan w:val="2"/>
            <w:tcBorders/>
            <w:vAlign w:val="bottom"/>
          </w:tcPr>
          <w:p>
            <w:pPr>
              <w:pStyle w:val="Normal"/>
              <w:rPr>
                <w:rFonts w:eastAsia="Arial Unicode MS" w:cs="Arial"/>
                <w:b/>
                <w:bCs/>
                <w:color w:val="FF0000"/>
                <w:sz w:val="24"/>
                <w:u w:val="single"/>
              </w:rPr>
            </w:pPr>
            <w:r>
              <w:rPr>
                <w:rFonts w:cs="Arial"/>
                <w:b/>
                <w:bCs/>
                <w:color w:val="FF0000"/>
                <w:u w:val="single"/>
              </w:rPr>
              <w:t>Easy wins</w:t>
            </w:r>
          </w:p>
        </w:tc>
        <w:tc>
          <w:tcPr>
            <w:tcW w:w="756" w:type="dxa"/>
            <w:tcBorders/>
            <w:vAlign w:val="bottom"/>
          </w:tcPr>
          <w:p>
            <w:pPr>
              <w:pStyle w:val="Normal"/>
              <w:jc w:val="center"/>
              <w:rPr>
                <w:rFonts w:eastAsia="Arial Unicode MS" w:cs="Arial"/>
                <w:b/>
                <w:bCs/>
                <w:szCs w:val="20"/>
              </w:rPr>
            </w:pPr>
            <w:r>
              <w:rPr>
                <w:rFonts w:cs="Arial"/>
                <w:b/>
                <w:bCs/>
                <w:szCs w:val="20"/>
              </w:rPr>
              <w:t>(1 high to 5)</w:t>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1)</w:t>
            </w:r>
          </w:p>
        </w:tc>
        <w:tc>
          <w:tcPr>
            <w:tcW w:w="6783" w:type="dxa"/>
            <w:tcBorders/>
            <w:vAlign w:val="bottom"/>
          </w:tcPr>
          <w:p>
            <w:pPr>
              <w:pStyle w:val="Normal"/>
              <w:rPr>
                <w:rFonts w:eastAsia="Arial Unicode MS" w:cs="Arial"/>
                <w:b/>
                <w:bCs/>
                <w:szCs w:val="20"/>
              </w:rPr>
            </w:pPr>
            <w:r>
              <w:rPr>
                <w:rFonts w:cs="Arial"/>
                <w:b/>
                <w:bCs/>
                <w:szCs w:val="20"/>
              </w:rPr>
              <w:t>Manx, all feeds</w:t>
            </w:r>
          </w:p>
        </w:tc>
        <w:tc>
          <w:tcPr>
            <w:tcW w:w="756" w:type="dxa"/>
            <w:tcBorders/>
            <w:vAlign w:val="bottom"/>
          </w:tcPr>
          <w:p>
            <w:pPr>
              <w:pStyle w:val="Normal"/>
              <w:jc w:val="center"/>
              <w:rPr>
                <w:rFonts w:eastAsia="Arial Unicode MS" w:cs="Arial"/>
                <w:b/>
                <w:bCs/>
                <w:szCs w:val="20"/>
              </w:rPr>
            </w:pPr>
            <w:r>
              <w:rPr>
                <w:rFonts w:cs="Arial"/>
                <w:b/>
                <w:bCs/>
                <w:szCs w:val="20"/>
              </w:rPr>
              <w:t>3</w:t>
            </w:r>
          </w:p>
        </w:tc>
        <w:tc>
          <w:tcPr>
            <w:tcW w:w="1316" w:type="dxa"/>
            <w:tcBorders/>
            <w:vAlign w:val="bottom"/>
          </w:tcPr>
          <w:p>
            <w:pPr>
              <w:pStyle w:val="Normal"/>
              <w:rPr>
                <w:rFonts w:eastAsia="Arial Unicode MS" w:cs="Arial"/>
                <w:b/>
                <w:bCs/>
                <w:szCs w:val="20"/>
              </w:rPr>
            </w:pPr>
            <w:r>
              <w:rPr>
                <w:rFonts w:cs="Arial"/>
                <w:b/>
                <w:bCs/>
                <w:szCs w:val="20"/>
              </w:rPr>
              <w:t>1 Manday</w:t>
            </w:r>
          </w:p>
        </w:tc>
        <w:tc>
          <w:tcPr>
            <w:tcW w:w="2672" w:type="dxa"/>
            <w:gridSpan w:val="2"/>
            <w:tcBorders/>
            <w:vAlign w:val="bottom"/>
          </w:tcPr>
          <w:p>
            <w:pPr>
              <w:pStyle w:val="Normal"/>
              <w:rPr>
                <w:rFonts w:eastAsia="Arial Unicode MS" w:cs="Arial"/>
                <w:b/>
                <w:bCs/>
                <w:szCs w:val="20"/>
              </w:rPr>
            </w:pPr>
            <w:r>
              <w:rPr>
                <w:rFonts w:cs="Arial"/>
                <w:b/>
                <w:bCs/>
                <w:szCs w:val="20"/>
              </w:rPr>
              <w:t>ADC,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2)</w:t>
            </w:r>
          </w:p>
        </w:tc>
        <w:tc>
          <w:tcPr>
            <w:tcW w:w="6783" w:type="dxa"/>
            <w:tcBorders/>
            <w:vAlign w:val="bottom"/>
          </w:tcPr>
          <w:p>
            <w:pPr>
              <w:pStyle w:val="Normal"/>
              <w:rPr>
                <w:rFonts w:eastAsia="Arial Unicode MS" w:cs="Arial"/>
                <w:b/>
                <w:bCs/>
                <w:szCs w:val="20"/>
              </w:rPr>
            </w:pPr>
            <w:r>
              <w:rPr>
                <w:rFonts w:cs="Arial"/>
                <w:b/>
                <w:bCs/>
                <w:szCs w:val="20"/>
              </w:rPr>
              <w:t xml:space="preserve">Watershed, delta &amp; cashflows information by </w:t>
            </w:r>
          </w:p>
        </w:tc>
        <w:tc>
          <w:tcPr>
            <w:tcW w:w="756" w:type="dxa"/>
            <w:tcBorders/>
            <w:vAlign w:val="bottom"/>
          </w:tcPr>
          <w:p>
            <w:pPr>
              <w:pStyle w:val="Normal"/>
              <w:jc w:val="center"/>
              <w:rPr>
                <w:rFonts w:eastAsia="Arial Unicode MS" w:cs="Arial"/>
                <w:b/>
                <w:bCs/>
                <w:szCs w:val="20"/>
              </w:rPr>
            </w:pPr>
            <w:r>
              <w:rPr>
                <w:rFonts w:cs="Arial"/>
                <w:b/>
                <w:bCs/>
                <w:szCs w:val="20"/>
              </w:rPr>
              <w:t>3</w:t>
            </w:r>
          </w:p>
        </w:tc>
        <w:tc>
          <w:tcPr>
            <w:tcW w:w="1316" w:type="dxa"/>
            <w:tcBorders/>
            <w:vAlign w:val="bottom"/>
          </w:tcPr>
          <w:p>
            <w:pPr>
              <w:pStyle w:val="Normal"/>
              <w:rPr>
                <w:rFonts w:eastAsia="Arial Unicode MS" w:cs="Arial"/>
                <w:b/>
                <w:bCs/>
                <w:szCs w:val="20"/>
              </w:rPr>
            </w:pPr>
            <w:r>
              <w:rPr>
                <w:rFonts w:cs="Arial"/>
                <w:b/>
                <w:bCs/>
                <w:szCs w:val="20"/>
              </w:rPr>
              <w:t>3 Mandays</w:t>
            </w:r>
          </w:p>
        </w:tc>
        <w:tc>
          <w:tcPr>
            <w:tcW w:w="2672" w:type="dxa"/>
            <w:gridSpan w:val="2"/>
            <w:tcBorders/>
            <w:vAlign w:val="bottom"/>
          </w:tcPr>
          <w:p>
            <w:pPr>
              <w:pStyle w:val="Normal"/>
              <w:rPr>
                <w:rFonts w:eastAsia="Arial Unicode MS" w:cs="Arial"/>
                <w:b/>
                <w:bCs/>
                <w:szCs w:val="20"/>
              </w:rPr>
            </w:pPr>
            <w:r>
              <w:rPr>
                <w:rFonts w:cs="Arial"/>
                <w:b/>
                <w:bCs/>
                <w:szCs w:val="20"/>
              </w:rPr>
              <w:t>SS,LC,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b/>
                <w:bCs/>
                <w:szCs w:val="20"/>
              </w:rPr>
            </w:pPr>
            <w:r>
              <w:rPr>
                <w:rFonts w:eastAsia="Arial Unicode MS" w:cs="Arial" w:ascii="Times New Roman" w:hAnsi="Times New Roman"/>
                <w:b/>
                <w:bCs/>
                <w:szCs w:val="20"/>
              </w:rPr>
            </w:r>
          </w:p>
        </w:tc>
        <w:tc>
          <w:tcPr>
            <w:tcW w:w="6783" w:type="dxa"/>
            <w:tcBorders/>
            <w:vAlign w:val="bottom"/>
          </w:tcPr>
          <w:p>
            <w:pPr>
              <w:pStyle w:val="Normal"/>
              <w:rPr>
                <w:rFonts w:eastAsia="Arial Unicode MS" w:cs="Arial"/>
                <w:b/>
                <w:bCs/>
                <w:szCs w:val="20"/>
              </w:rPr>
            </w:pPr>
            <w:r>
              <w:rPr>
                <w:rFonts w:cs="Arial"/>
                <w:b/>
                <w:bCs/>
                <w:szCs w:val="20"/>
              </w:rPr>
              <w:t>counterparty for customer deals only.</w:t>
            </w:r>
          </w:p>
        </w:tc>
        <w:tc>
          <w:tcPr>
            <w:tcW w:w="756" w:type="dxa"/>
            <w:tcBorders/>
            <w:vAlign w:val="bottom"/>
          </w:tcPr>
          <w:p>
            <w:pPr>
              <w:pStyle w:val="Normal"/>
              <w:snapToGrid w:val="false"/>
              <w:jc w:val="center"/>
              <w:rPr>
                <w:rFonts w:eastAsia="Arial Unicode MS" w:cs="Arial"/>
                <w:b/>
                <w:bCs/>
                <w:szCs w:val="20"/>
              </w:rPr>
            </w:pPr>
            <w:r>
              <w:rPr>
                <w:rFonts w:eastAsia="Arial Unicode MS" w:cs="Arial"/>
                <w:b/>
                <w:bCs/>
                <w:szCs w:val="20"/>
              </w:rPr>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3)</w:t>
            </w:r>
          </w:p>
        </w:tc>
        <w:tc>
          <w:tcPr>
            <w:tcW w:w="6783" w:type="dxa"/>
            <w:tcBorders/>
            <w:vAlign w:val="bottom"/>
          </w:tcPr>
          <w:p>
            <w:pPr>
              <w:pStyle w:val="Normal"/>
              <w:rPr>
                <w:rFonts w:eastAsia="Arial Unicode MS" w:cs="Arial"/>
                <w:b/>
                <w:bCs/>
                <w:szCs w:val="20"/>
              </w:rPr>
            </w:pPr>
            <w:r>
              <w:rPr>
                <w:rFonts w:cs="Arial"/>
                <w:b/>
                <w:bCs/>
                <w:szCs w:val="20"/>
              </w:rPr>
              <w:t>Interconnector, all feeds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3 Mandays</w:t>
            </w:r>
          </w:p>
        </w:tc>
        <w:tc>
          <w:tcPr>
            <w:tcW w:w="2672" w:type="dxa"/>
            <w:gridSpan w:val="2"/>
            <w:tcBorders/>
            <w:vAlign w:val="bottom"/>
          </w:tcPr>
          <w:p>
            <w:pPr>
              <w:pStyle w:val="Normal"/>
              <w:rPr>
                <w:rFonts w:eastAsia="Arial Unicode MS" w:cs="Arial"/>
                <w:b/>
                <w:bCs/>
                <w:szCs w:val="20"/>
              </w:rPr>
            </w:pPr>
            <w:r>
              <w:rPr>
                <w:rFonts w:cs="Arial"/>
                <w:b/>
                <w:bCs/>
                <w:szCs w:val="20"/>
              </w:rPr>
              <w:t>SS, 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4)</w:t>
            </w:r>
          </w:p>
        </w:tc>
        <w:tc>
          <w:tcPr>
            <w:tcW w:w="6783" w:type="dxa"/>
            <w:tcBorders/>
            <w:vAlign w:val="bottom"/>
          </w:tcPr>
          <w:p>
            <w:pPr>
              <w:pStyle w:val="Normal"/>
              <w:rPr>
                <w:rFonts w:eastAsia="Arial Unicode MS" w:cs="Arial"/>
                <w:b/>
                <w:bCs/>
                <w:szCs w:val="20"/>
              </w:rPr>
            </w:pPr>
            <w:r>
              <w:rPr>
                <w:rFonts w:cs="Arial"/>
                <w:b/>
                <w:bCs/>
                <w:szCs w:val="20"/>
              </w:rPr>
              <w:t>J Block, cashflows and deltas not by counterparty</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3 Mandays</w:t>
            </w:r>
          </w:p>
        </w:tc>
        <w:tc>
          <w:tcPr>
            <w:tcW w:w="2672" w:type="dxa"/>
            <w:gridSpan w:val="2"/>
            <w:tcBorders/>
            <w:vAlign w:val="bottom"/>
          </w:tcPr>
          <w:p>
            <w:pPr>
              <w:pStyle w:val="Normal"/>
              <w:rPr>
                <w:rFonts w:eastAsia="Arial Unicode MS" w:cs="Arial"/>
                <w:b/>
                <w:bCs/>
                <w:szCs w:val="20"/>
              </w:rPr>
            </w:pPr>
            <w:r>
              <w:rPr>
                <w:rFonts w:cs="Arial"/>
                <w:b/>
                <w:bCs/>
                <w:szCs w:val="20"/>
              </w:rPr>
              <w:t>CC, 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5)</w:t>
            </w:r>
          </w:p>
        </w:tc>
        <w:tc>
          <w:tcPr>
            <w:tcW w:w="6783" w:type="dxa"/>
            <w:tcBorders/>
            <w:vAlign w:val="bottom"/>
          </w:tcPr>
          <w:p>
            <w:pPr>
              <w:pStyle w:val="Normal"/>
              <w:rPr>
                <w:rFonts w:eastAsia="Arial Unicode MS" w:cs="Arial"/>
                <w:b/>
                <w:bCs/>
                <w:szCs w:val="20"/>
              </w:rPr>
            </w:pPr>
            <w:r>
              <w:rPr>
                <w:rFonts w:cs="Arial"/>
                <w:b/>
                <w:bCs/>
                <w:szCs w:val="20"/>
              </w:rPr>
              <w:t>Wessex, cashflows and deltas only</w:t>
            </w:r>
          </w:p>
        </w:tc>
        <w:tc>
          <w:tcPr>
            <w:tcW w:w="756" w:type="dxa"/>
            <w:tcBorders/>
            <w:vAlign w:val="bottom"/>
          </w:tcPr>
          <w:p>
            <w:pPr>
              <w:pStyle w:val="Normal"/>
              <w:jc w:val="center"/>
              <w:rPr>
                <w:rFonts w:eastAsia="Arial Unicode MS" w:cs="Arial"/>
                <w:b/>
                <w:bCs/>
                <w:szCs w:val="20"/>
              </w:rPr>
            </w:pPr>
            <w:r>
              <w:rPr>
                <w:rFonts w:cs="Arial"/>
                <w:b/>
                <w:bCs/>
                <w:szCs w:val="20"/>
              </w:rPr>
              <w:t>5</w:t>
            </w:r>
          </w:p>
        </w:tc>
        <w:tc>
          <w:tcPr>
            <w:tcW w:w="1316" w:type="dxa"/>
            <w:tcBorders/>
            <w:vAlign w:val="bottom"/>
          </w:tcPr>
          <w:p>
            <w:pPr>
              <w:pStyle w:val="Normal"/>
              <w:rPr>
                <w:rFonts w:eastAsia="Arial Unicode MS" w:cs="Arial"/>
                <w:b/>
                <w:bCs/>
                <w:szCs w:val="20"/>
              </w:rPr>
            </w:pPr>
            <w:r>
              <w:rPr>
                <w:rFonts w:cs="Arial"/>
                <w:b/>
                <w:bCs/>
                <w:szCs w:val="20"/>
              </w:rPr>
              <w:t>3 Mandays</w:t>
            </w:r>
          </w:p>
        </w:tc>
        <w:tc>
          <w:tcPr>
            <w:tcW w:w="2672" w:type="dxa"/>
            <w:gridSpan w:val="2"/>
            <w:tcBorders/>
            <w:vAlign w:val="bottom"/>
          </w:tcPr>
          <w:p>
            <w:pPr>
              <w:pStyle w:val="Normal"/>
              <w:rPr>
                <w:rFonts w:eastAsia="Arial Unicode MS" w:cs="Arial"/>
                <w:b/>
                <w:bCs/>
                <w:szCs w:val="20"/>
              </w:rPr>
            </w:pPr>
            <w:r>
              <w:rPr>
                <w:rFonts w:cs="Arial"/>
                <w:b/>
                <w:bCs/>
                <w:szCs w:val="20"/>
              </w:rPr>
              <w:t>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b/>
                <w:bCs/>
                <w:szCs w:val="20"/>
              </w:rPr>
            </w:pPr>
            <w:r>
              <w:rPr>
                <w:rFonts w:eastAsia="Arial Unicode MS" w:cs="Arial" w:ascii="Times New Roman" w:hAnsi="Times New Roman"/>
                <w:b/>
                <w:bCs/>
                <w:szCs w:val="20"/>
              </w:rPr>
            </w:r>
          </w:p>
        </w:tc>
        <w:tc>
          <w:tcPr>
            <w:tcW w:w="6783" w:type="dxa"/>
            <w:tcBorders/>
            <w:vAlign w:val="bottom"/>
          </w:tcPr>
          <w:p>
            <w:pPr>
              <w:pStyle w:val="Normal"/>
              <w:snapToGrid w:val="false"/>
              <w:rPr>
                <w:rFonts w:eastAsia="Arial Unicode MS" w:cs="Arial"/>
                <w:b/>
                <w:bCs/>
                <w:szCs w:val="20"/>
              </w:rPr>
            </w:pPr>
            <w:r>
              <w:rPr>
                <w:rFonts w:eastAsia="Arial Unicode MS" w:cs="Arial"/>
                <w:b/>
                <w:bCs/>
                <w:szCs w:val="20"/>
              </w:rPr>
            </w:r>
          </w:p>
        </w:tc>
        <w:tc>
          <w:tcPr>
            <w:tcW w:w="756" w:type="dxa"/>
            <w:tcBorders/>
            <w:vAlign w:val="bottom"/>
          </w:tcPr>
          <w:p>
            <w:pPr>
              <w:pStyle w:val="Normal"/>
              <w:snapToGrid w:val="false"/>
              <w:jc w:val="center"/>
              <w:rPr>
                <w:rFonts w:eastAsia="Arial Unicode MS" w:cs="Arial"/>
                <w:b/>
                <w:bCs/>
                <w:szCs w:val="20"/>
              </w:rPr>
            </w:pPr>
            <w:r>
              <w:rPr>
                <w:rFonts w:eastAsia="Arial Unicode MS" w:cs="Arial"/>
                <w:b/>
                <w:bCs/>
                <w:szCs w:val="20"/>
              </w:rPr>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b/>
                <w:bCs/>
                <w:szCs w:val="20"/>
              </w:rPr>
            </w:pPr>
            <w:r>
              <w:rPr>
                <w:rFonts w:eastAsia="Arial Unicode MS" w:cs="Arial" w:ascii="Times New Roman" w:hAnsi="Times New Roman"/>
                <w:b/>
                <w:bCs/>
                <w:szCs w:val="20"/>
              </w:rPr>
            </w:r>
          </w:p>
        </w:tc>
        <w:tc>
          <w:tcPr>
            <w:tcW w:w="6783" w:type="dxa"/>
            <w:tcBorders/>
            <w:vAlign w:val="bottom"/>
          </w:tcPr>
          <w:p>
            <w:pPr>
              <w:pStyle w:val="Normal"/>
              <w:snapToGrid w:val="false"/>
              <w:rPr>
                <w:rFonts w:eastAsia="Arial Unicode MS" w:cs="Arial"/>
                <w:b/>
                <w:bCs/>
                <w:szCs w:val="20"/>
              </w:rPr>
            </w:pPr>
            <w:r>
              <w:rPr>
                <w:rFonts w:eastAsia="Arial Unicode MS" w:cs="Arial"/>
                <w:b/>
                <w:bCs/>
                <w:szCs w:val="20"/>
              </w:rPr>
            </w:r>
          </w:p>
        </w:tc>
        <w:tc>
          <w:tcPr>
            <w:tcW w:w="756" w:type="dxa"/>
            <w:tcBorders/>
            <w:vAlign w:val="bottom"/>
          </w:tcPr>
          <w:p>
            <w:pPr>
              <w:pStyle w:val="Normal"/>
              <w:snapToGrid w:val="false"/>
              <w:jc w:val="center"/>
              <w:rPr>
                <w:rFonts w:eastAsia="Arial Unicode MS" w:cs="Arial"/>
                <w:b/>
                <w:bCs/>
                <w:szCs w:val="20"/>
              </w:rPr>
            </w:pPr>
            <w:r>
              <w:rPr>
                <w:rFonts w:eastAsia="Arial Unicode MS" w:cs="Arial"/>
                <w:b/>
                <w:bCs/>
                <w:szCs w:val="20"/>
              </w:rPr>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315" w:hRule="atLeast"/>
        </w:trPr>
        <w:tc>
          <w:tcPr>
            <w:tcW w:w="6996" w:type="dxa"/>
            <w:gridSpan w:val="2"/>
            <w:tcBorders/>
            <w:vAlign w:val="bottom"/>
          </w:tcPr>
          <w:p>
            <w:pPr>
              <w:pStyle w:val="Normal"/>
              <w:rPr>
                <w:rFonts w:eastAsia="Arial Unicode MS" w:cs="Arial"/>
                <w:b/>
                <w:bCs/>
                <w:color w:val="FF0000"/>
                <w:sz w:val="24"/>
                <w:u w:val="single"/>
              </w:rPr>
            </w:pPr>
            <w:r>
              <w:rPr>
                <w:rFonts w:cs="Arial"/>
                <w:b/>
                <w:bCs/>
                <w:color w:val="FF0000"/>
                <w:u w:val="single"/>
              </w:rPr>
              <w:t>Longer Term - Medium difficulty</w:t>
            </w:r>
          </w:p>
        </w:tc>
        <w:tc>
          <w:tcPr>
            <w:tcW w:w="756" w:type="dxa"/>
            <w:tcBorders/>
            <w:vAlign w:val="bottom"/>
          </w:tcPr>
          <w:p>
            <w:pPr>
              <w:pStyle w:val="Normal"/>
              <w:snapToGrid w:val="false"/>
              <w:jc w:val="center"/>
              <w:rPr>
                <w:rFonts w:eastAsia="Arial Unicode MS" w:cs="Arial"/>
                <w:b/>
                <w:bCs/>
                <w:color w:val="FF0000"/>
                <w:sz w:val="24"/>
                <w:szCs w:val="20"/>
                <w:u w:val="single"/>
              </w:rPr>
            </w:pPr>
            <w:r>
              <w:rPr>
                <w:rFonts w:eastAsia="Arial Unicode MS" w:cs="Arial"/>
                <w:b/>
                <w:bCs/>
                <w:color w:val="FF0000"/>
                <w:sz w:val="24"/>
                <w:szCs w:val="20"/>
                <w:u w:val="single"/>
              </w:rPr>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1)</w:t>
            </w:r>
          </w:p>
        </w:tc>
        <w:tc>
          <w:tcPr>
            <w:tcW w:w="6783" w:type="dxa"/>
            <w:tcBorders/>
            <w:vAlign w:val="bottom"/>
          </w:tcPr>
          <w:p>
            <w:pPr>
              <w:pStyle w:val="Normal"/>
              <w:rPr>
                <w:rFonts w:eastAsia="Arial Unicode MS" w:cs="Arial"/>
                <w:b/>
                <w:bCs/>
                <w:szCs w:val="20"/>
              </w:rPr>
            </w:pPr>
            <w:r>
              <w:rPr>
                <w:rFonts w:cs="Arial"/>
                <w:b/>
                <w:bCs/>
                <w:szCs w:val="20"/>
              </w:rPr>
              <w:t>J Block, cashflows and deltas by external counterparty</w:t>
            </w:r>
          </w:p>
        </w:tc>
        <w:tc>
          <w:tcPr>
            <w:tcW w:w="756" w:type="dxa"/>
            <w:tcBorders/>
            <w:vAlign w:val="bottom"/>
          </w:tcPr>
          <w:p>
            <w:pPr>
              <w:pStyle w:val="Normal"/>
              <w:jc w:val="center"/>
              <w:rPr>
                <w:rFonts w:eastAsia="Arial Unicode MS" w:cs="Arial"/>
                <w:b/>
                <w:bCs/>
                <w:szCs w:val="20"/>
              </w:rPr>
            </w:pPr>
            <w:r>
              <w:rPr>
                <w:rFonts w:cs="Arial"/>
                <w:b/>
                <w:bCs/>
                <w:szCs w:val="20"/>
              </w:rPr>
              <w:t>1</w:t>
            </w:r>
          </w:p>
        </w:tc>
        <w:tc>
          <w:tcPr>
            <w:tcW w:w="1316" w:type="dxa"/>
            <w:tcBorders/>
            <w:vAlign w:val="bottom"/>
          </w:tcPr>
          <w:p>
            <w:pPr>
              <w:pStyle w:val="Normal"/>
              <w:rPr>
                <w:rFonts w:eastAsia="Arial Unicode MS" w:cs="Arial"/>
                <w:b/>
                <w:bCs/>
                <w:szCs w:val="20"/>
              </w:rPr>
            </w:pPr>
            <w:r>
              <w:rPr>
                <w:rFonts w:cs="Arial"/>
                <w:b/>
                <w:bCs/>
                <w:szCs w:val="20"/>
              </w:rPr>
              <w:t>3 Mandays</w:t>
            </w:r>
          </w:p>
        </w:tc>
        <w:tc>
          <w:tcPr>
            <w:tcW w:w="2672" w:type="dxa"/>
            <w:gridSpan w:val="2"/>
            <w:tcBorders/>
            <w:vAlign w:val="bottom"/>
          </w:tcPr>
          <w:p>
            <w:pPr>
              <w:pStyle w:val="Normal"/>
              <w:rPr>
                <w:rFonts w:eastAsia="Arial Unicode MS" w:cs="Arial"/>
                <w:b/>
                <w:bCs/>
                <w:szCs w:val="20"/>
              </w:rPr>
            </w:pPr>
            <w:r>
              <w:rPr>
                <w:rFonts w:cs="Arial"/>
                <w:b/>
                <w:bCs/>
                <w:szCs w:val="20"/>
              </w:rPr>
              <w:t>CC, 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2)</w:t>
            </w:r>
          </w:p>
        </w:tc>
        <w:tc>
          <w:tcPr>
            <w:tcW w:w="6783" w:type="dxa"/>
            <w:tcBorders/>
            <w:vAlign w:val="bottom"/>
          </w:tcPr>
          <w:p>
            <w:pPr>
              <w:pStyle w:val="Normal"/>
              <w:rPr>
                <w:rFonts w:eastAsia="Arial Unicode MS" w:cs="Arial"/>
                <w:b/>
                <w:bCs/>
                <w:szCs w:val="20"/>
              </w:rPr>
            </w:pPr>
            <w:r>
              <w:rPr>
                <w:rFonts w:cs="Arial"/>
                <w:b/>
                <w:bCs/>
                <w:szCs w:val="20"/>
              </w:rPr>
              <w:t>NP Accrual deal model update and cashflows &amp; deltas.</w:t>
            </w:r>
          </w:p>
        </w:tc>
        <w:tc>
          <w:tcPr>
            <w:tcW w:w="756" w:type="dxa"/>
            <w:tcBorders/>
            <w:vAlign w:val="bottom"/>
          </w:tcPr>
          <w:p>
            <w:pPr>
              <w:pStyle w:val="Normal"/>
              <w:jc w:val="center"/>
              <w:rPr>
                <w:rFonts w:eastAsia="Arial Unicode MS" w:cs="Arial"/>
                <w:b/>
                <w:bCs/>
                <w:szCs w:val="20"/>
              </w:rPr>
            </w:pPr>
            <w:r>
              <w:rPr>
                <w:rFonts w:cs="Arial"/>
                <w:b/>
                <w:bCs/>
                <w:szCs w:val="20"/>
              </w:rPr>
              <w:t>1</w:t>
            </w:r>
          </w:p>
        </w:tc>
        <w:tc>
          <w:tcPr>
            <w:tcW w:w="1316" w:type="dxa"/>
            <w:tcBorders/>
            <w:vAlign w:val="bottom"/>
          </w:tcPr>
          <w:p>
            <w:pPr>
              <w:pStyle w:val="Normal"/>
              <w:rPr>
                <w:rFonts w:eastAsia="Arial Unicode MS" w:cs="Arial"/>
                <w:b/>
                <w:bCs/>
                <w:szCs w:val="20"/>
              </w:rPr>
            </w:pPr>
            <w:r>
              <w:rPr>
                <w:rFonts w:cs="Arial"/>
                <w:b/>
                <w:bCs/>
                <w:szCs w:val="20"/>
              </w:rPr>
              <w:t>13 Mandays</w:t>
            </w:r>
          </w:p>
        </w:tc>
        <w:tc>
          <w:tcPr>
            <w:tcW w:w="3648" w:type="dxa"/>
            <w:gridSpan w:val="3"/>
            <w:tcBorders/>
            <w:vAlign w:val="bottom"/>
          </w:tcPr>
          <w:p>
            <w:pPr>
              <w:pStyle w:val="Normal"/>
              <w:rPr>
                <w:rFonts w:eastAsia="Arial Unicode MS" w:cs="Arial"/>
                <w:b/>
                <w:bCs/>
                <w:szCs w:val="20"/>
              </w:rPr>
            </w:pPr>
            <w:r>
              <w:rPr>
                <w:rFonts w:cs="Arial"/>
                <w:b/>
                <w:bCs/>
                <w:szCs w:val="20"/>
              </w:rPr>
              <w:t>LB, ADC,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2)</w:t>
            </w:r>
          </w:p>
        </w:tc>
        <w:tc>
          <w:tcPr>
            <w:tcW w:w="6783" w:type="dxa"/>
            <w:tcBorders/>
            <w:vAlign w:val="bottom"/>
          </w:tcPr>
          <w:p>
            <w:pPr>
              <w:pStyle w:val="Normal"/>
              <w:rPr>
                <w:rFonts w:eastAsia="Arial Unicode MS" w:cs="Arial"/>
                <w:b/>
                <w:bCs/>
                <w:szCs w:val="20"/>
              </w:rPr>
            </w:pPr>
            <w:r>
              <w:rPr>
                <w:rFonts w:cs="Arial"/>
                <w:b/>
                <w:bCs/>
                <w:szCs w:val="20"/>
              </w:rPr>
              <w:t>Watershed, delta &amp; cashflows information all by counterparty</w:t>
            </w:r>
          </w:p>
        </w:tc>
        <w:tc>
          <w:tcPr>
            <w:tcW w:w="756" w:type="dxa"/>
            <w:tcBorders/>
            <w:vAlign w:val="bottom"/>
          </w:tcPr>
          <w:p>
            <w:pPr>
              <w:pStyle w:val="Normal"/>
              <w:jc w:val="center"/>
              <w:rPr>
                <w:rFonts w:eastAsia="Arial Unicode MS" w:cs="Arial"/>
                <w:b/>
                <w:bCs/>
                <w:szCs w:val="20"/>
              </w:rPr>
            </w:pPr>
            <w:r>
              <w:rPr>
                <w:rFonts w:cs="Arial"/>
                <w:b/>
                <w:bCs/>
                <w:szCs w:val="20"/>
              </w:rPr>
              <w:t>1</w:t>
            </w:r>
          </w:p>
        </w:tc>
        <w:tc>
          <w:tcPr>
            <w:tcW w:w="1316" w:type="dxa"/>
            <w:tcBorders/>
            <w:vAlign w:val="bottom"/>
          </w:tcPr>
          <w:p>
            <w:pPr>
              <w:pStyle w:val="Normal"/>
              <w:rPr>
                <w:rFonts w:eastAsia="Arial Unicode MS" w:cs="Arial"/>
                <w:b/>
                <w:bCs/>
                <w:szCs w:val="20"/>
              </w:rPr>
            </w:pPr>
            <w:r>
              <w:rPr>
                <w:rFonts w:cs="Arial"/>
                <w:b/>
                <w:bCs/>
                <w:szCs w:val="20"/>
              </w:rPr>
              <w:t>15 mandays</w:t>
            </w:r>
          </w:p>
        </w:tc>
        <w:tc>
          <w:tcPr>
            <w:tcW w:w="4624" w:type="dxa"/>
            <w:gridSpan w:val="4"/>
            <w:tcBorders/>
            <w:vAlign w:val="bottom"/>
          </w:tcPr>
          <w:p>
            <w:pPr>
              <w:pStyle w:val="Normal"/>
              <w:rPr>
                <w:rFonts w:eastAsia="Arial Unicode MS" w:cs="Arial"/>
                <w:b/>
                <w:bCs/>
                <w:szCs w:val="20"/>
              </w:rPr>
            </w:pPr>
            <w:r>
              <w:rPr>
                <w:rFonts w:cs="Arial"/>
                <w:b/>
                <w:bCs/>
                <w:szCs w:val="20"/>
              </w:rPr>
              <w:t>SS, LC, Risk Management, Structuring Support</w:t>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2)</w:t>
            </w:r>
          </w:p>
        </w:tc>
        <w:tc>
          <w:tcPr>
            <w:tcW w:w="6783" w:type="dxa"/>
            <w:tcBorders/>
            <w:vAlign w:val="bottom"/>
          </w:tcPr>
          <w:p>
            <w:pPr>
              <w:pStyle w:val="Normal"/>
              <w:rPr>
                <w:rFonts w:eastAsia="Arial Unicode MS" w:cs="Arial"/>
                <w:b/>
                <w:bCs/>
                <w:szCs w:val="20"/>
              </w:rPr>
            </w:pPr>
            <w:r>
              <w:rPr>
                <w:rFonts w:cs="Arial"/>
                <w:b/>
                <w:bCs/>
                <w:szCs w:val="20"/>
              </w:rPr>
              <w:t>Enron direct, cashflows and deltas not by counterparty</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5 Mandays</w:t>
            </w:r>
          </w:p>
        </w:tc>
        <w:tc>
          <w:tcPr>
            <w:tcW w:w="2672" w:type="dxa"/>
            <w:gridSpan w:val="2"/>
            <w:tcBorders/>
            <w:vAlign w:val="bottom"/>
          </w:tcPr>
          <w:p>
            <w:pPr>
              <w:pStyle w:val="Normal"/>
              <w:rPr>
                <w:rFonts w:eastAsia="Arial Unicode MS" w:cs="Arial"/>
                <w:b/>
                <w:bCs/>
                <w:szCs w:val="20"/>
              </w:rPr>
            </w:pPr>
            <w:r>
              <w:rPr>
                <w:rFonts w:cs="Arial"/>
                <w:b/>
                <w:bCs/>
                <w:szCs w:val="20"/>
              </w:rPr>
              <w:t>CC, 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4)</w:t>
            </w:r>
          </w:p>
        </w:tc>
        <w:tc>
          <w:tcPr>
            <w:tcW w:w="6783" w:type="dxa"/>
            <w:tcBorders/>
            <w:vAlign w:val="bottom"/>
          </w:tcPr>
          <w:p>
            <w:pPr>
              <w:pStyle w:val="Normal"/>
              <w:rPr>
                <w:rFonts w:eastAsia="Arial Unicode MS" w:cs="Arial"/>
                <w:b/>
                <w:bCs/>
                <w:szCs w:val="20"/>
              </w:rPr>
            </w:pPr>
            <w:r>
              <w:rPr>
                <w:rFonts w:cs="Arial"/>
                <w:b/>
                <w:bCs/>
                <w:szCs w:val="20"/>
              </w:rPr>
              <w:t>TPL cashflows and deltas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7 Mandays</w:t>
            </w:r>
          </w:p>
        </w:tc>
        <w:tc>
          <w:tcPr>
            <w:tcW w:w="2672" w:type="dxa"/>
            <w:gridSpan w:val="2"/>
            <w:tcBorders/>
            <w:vAlign w:val="bottom"/>
          </w:tcPr>
          <w:p>
            <w:pPr>
              <w:pStyle w:val="Normal"/>
              <w:rPr>
                <w:rFonts w:eastAsia="Arial Unicode MS" w:cs="Arial"/>
                <w:b/>
                <w:bCs/>
                <w:szCs w:val="20"/>
              </w:rPr>
            </w:pPr>
            <w:r>
              <w:rPr>
                <w:rFonts w:cs="Arial"/>
                <w:b/>
                <w:bCs/>
                <w:szCs w:val="20"/>
              </w:rPr>
              <w:t>ADC,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5)</w:t>
            </w:r>
          </w:p>
        </w:tc>
        <w:tc>
          <w:tcPr>
            <w:tcW w:w="6783" w:type="dxa"/>
            <w:tcBorders/>
            <w:vAlign w:val="bottom"/>
          </w:tcPr>
          <w:p>
            <w:pPr>
              <w:pStyle w:val="Normal"/>
              <w:rPr>
                <w:rFonts w:eastAsia="Arial Unicode MS" w:cs="Arial"/>
                <w:b/>
                <w:bCs/>
                <w:szCs w:val="20"/>
              </w:rPr>
            </w:pPr>
            <w:r>
              <w:rPr>
                <w:rFonts w:cs="Arial"/>
                <w:b/>
                <w:bCs/>
                <w:szCs w:val="20"/>
              </w:rPr>
              <w:t>Enron directo, Enron direct NL</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10 Mandays</w:t>
            </w:r>
          </w:p>
        </w:tc>
        <w:tc>
          <w:tcPr>
            <w:tcW w:w="2672" w:type="dxa"/>
            <w:gridSpan w:val="2"/>
            <w:tcBorders/>
            <w:vAlign w:val="bottom"/>
          </w:tcPr>
          <w:p>
            <w:pPr>
              <w:pStyle w:val="Normal"/>
              <w:rPr>
                <w:rFonts w:eastAsia="Arial Unicode MS" w:cs="Arial"/>
                <w:b/>
                <w:bCs/>
                <w:szCs w:val="20"/>
              </w:rPr>
            </w:pPr>
            <w:r>
              <w:rPr>
                <w:rFonts w:cs="Arial"/>
                <w:b/>
                <w:bCs/>
                <w:szCs w:val="20"/>
              </w:rPr>
              <w:t>LB, LC,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3)</w:t>
            </w:r>
          </w:p>
        </w:tc>
        <w:tc>
          <w:tcPr>
            <w:tcW w:w="6783" w:type="dxa"/>
            <w:tcBorders/>
            <w:vAlign w:val="bottom"/>
          </w:tcPr>
          <w:p>
            <w:pPr>
              <w:pStyle w:val="Normal"/>
              <w:rPr>
                <w:rFonts w:eastAsia="Arial Unicode MS" w:cs="Arial"/>
                <w:b/>
                <w:bCs/>
                <w:szCs w:val="20"/>
              </w:rPr>
            </w:pPr>
            <w:r>
              <w:rPr>
                <w:rFonts w:cs="Arial"/>
                <w:b/>
                <w:bCs/>
                <w:szCs w:val="20"/>
              </w:rPr>
              <w:t>Wessex Gammas, Nb Risk consider immaterial.</w:t>
            </w:r>
          </w:p>
        </w:tc>
        <w:tc>
          <w:tcPr>
            <w:tcW w:w="756" w:type="dxa"/>
            <w:tcBorders/>
            <w:vAlign w:val="bottom"/>
          </w:tcPr>
          <w:p>
            <w:pPr>
              <w:pStyle w:val="Normal"/>
              <w:jc w:val="center"/>
              <w:rPr>
                <w:rFonts w:eastAsia="Arial Unicode MS" w:cs="Arial"/>
                <w:b/>
                <w:bCs/>
                <w:szCs w:val="20"/>
              </w:rPr>
            </w:pPr>
            <w:r>
              <w:rPr>
                <w:rFonts w:cs="Arial"/>
                <w:b/>
                <w:bCs/>
                <w:szCs w:val="20"/>
              </w:rPr>
              <w:t>5</w:t>
            </w:r>
          </w:p>
        </w:tc>
        <w:tc>
          <w:tcPr>
            <w:tcW w:w="1316" w:type="dxa"/>
            <w:tcBorders/>
            <w:vAlign w:val="bottom"/>
          </w:tcPr>
          <w:p>
            <w:pPr>
              <w:pStyle w:val="Normal"/>
              <w:rPr>
                <w:rFonts w:eastAsia="Arial Unicode MS" w:cs="Arial"/>
                <w:b/>
                <w:bCs/>
                <w:szCs w:val="20"/>
              </w:rPr>
            </w:pPr>
            <w:r>
              <w:rPr>
                <w:rFonts w:cs="Arial"/>
                <w:b/>
                <w:bCs/>
                <w:szCs w:val="20"/>
              </w:rPr>
              <w:t>5 Mandays</w:t>
            </w:r>
          </w:p>
        </w:tc>
        <w:tc>
          <w:tcPr>
            <w:tcW w:w="2672" w:type="dxa"/>
            <w:gridSpan w:val="2"/>
            <w:tcBorders/>
            <w:vAlign w:val="bottom"/>
          </w:tcPr>
          <w:p>
            <w:pPr>
              <w:pStyle w:val="Normal"/>
              <w:rPr>
                <w:rFonts w:eastAsia="Arial Unicode MS" w:cs="Arial"/>
                <w:b/>
                <w:bCs/>
                <w:szCs w:val="20"/>
              </w:rPr>
            </w:pPr>
            <w:r>
              <w:rPr>
                <w:rFonts w:cs="Arial"/>
                <w:b/>
                <w:bCs/>
                <w:szCs w:val="20"/>
              </w:rPr>
              <w:t>ADC, Risk Management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b/>
                <w:bCs/>
                <w:szCs w:val="20"/>
              </w:rPr>
            </w:pPr>
            <w:r>
              <w:rPr>
                <w:rFonts w:eastAsia="Arial Unicode MS" w:cs="Arial" w:ascii="Times New Roman" w:hAnsi="Times New Roman"/>
                <w:b/>
                <w:bCs/>
                <w:szCs w:val="20"/>
              </w:rPr>
            </w:r>
          </w:p>
        </w:tc>
        <w:tc>
          <w:tcPr>
            <w:tcW w:w="6783" w:type="dxa"/>
            <w:tcBorders/>
            <w:vAlign w:val="bottom"/>
          </w:tcPr>
          <w:p>
            <w:pPr>
              <w:pStyle w:val="Normal"/>
              <w:snapToGrid w:val="false"/>
              <w:rPr>
                <w:rFonts w:eastAsia="Arial Unicode MS" w:cs="Arial"/>
                <w:b/>
                <w:bCs/>
                <w:szCs w:val="20"/>
              </w:rPr>
            </w:pPr>
            <w:r>
              <w:rPr>
                <w:rFonts w:eastAsia="Arial Unicode MS" w:cs="Arial"/>
                <w:b/>
                <w:bCs/>
                <w:szCs w:val="20"/>
              </w:rPr>
            </w:r>
          </w:p>
        </w:tc>
        <w:tc>
          <w:tcPr>
            <w:tcW w:w="756" w:type="dxa"/>
            <w:tcBorders/>
            <w:vAlign w:val="bottom"/>
          </w:tcPr>
          <w:p>
            <w:pPr>
              <w:pStyle w:val="Normal"/>
              <w:snapToGrid w:val="false"/>
              <w:jc w:val="center"/>
              <w:rPr>
                <w:rFonts w:eastAsia="Arial Unicode MS" w:cs="Arial"/>
                <w:b/>
                <w:bCs/>
                <w:szCs w:val="20"/>
              </w:rPr>
            </w:pPr>
            <w:r>
              <w:rPr>
                <w:rFonts w:eastAsia="Arial Unicode MS" w:cs="Arial"/>
                <w:b/>
                <w:bCs/>
                <w:szCs w:val="20"/>
              </w:rPr>
            </w:r>
          </w:p>
        </w:tc>
        <w:tc>
          <w:tcPr>
            <w:tcW w:w="1316" w:type="dxa"/>
            <w:tcBorders/>
            <w:vAlign w:val="bottom"/>
          </w:tcPr>
          <w:p>
            <w:pPr>
              <w:pStyle w:val="Normal"/>
              <w:snapToGrid w:val="false"/>
              <w:rPr>
                <w:rFonts w:eastAsia="Arial Unicode MS" w:cs="Arial"/>
                <w:b/>
                <w:bCs/>
                <w:szCs w:val="20"/>
              </w:rPr>
            </w:pPr>
            <w:r>
              <w:rPr>
                <w:rFonts w:eastAsia="Arial Unicode MS" w:cs="Arial"/>
                <w:b/>
                <w:bCs/>
                <w:szCs w:val="20"/>
              </w:rPr>
            </w:r>
          </w:p>
        </w:tc>
        <w:tc>
          <w:tcPr>
            <w:tcW w:w="169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315" w:hRule="atLeast"/>
        </w:trPr>
        <w:tc>
          <w:tcPr>
            <w:tcW w:w="6996" w:type="dxa"/>
            <w:gridSpan w:val="2"/>
            <w:tcBorders/>
            <w:vAlign w:val="bottom"/>
          </w:tcPr>
          <w:p>
            <w:pPr>
              <w:pStyle w:val="Normal"/>
              <w:rPr>
                <w:rFonts w:eastAsia="Arial Unicode MS" w:cs="Arial"/>
                <w:b/>
                <w:bCs/>
                <w:color w:val="FF0000"/>
                <w:sz w:val="24"/>
                <w:u w:val="single"/>
              </w:rPr>
            </w:pPr>
            <w:r>
              <w:rPr>
                <w:rFonts w:cs="Arial"/>
                <w:b/>
                <w:bCs/>
                <w:color w:val="FF0000"/>
                <w:u w:val="single"/>
              </w:rPr>
              <w:t>Longer Term - High Difficulty</w:t>
            </w:r>
          </w:p>
        </w:tc>
        <w:tc>
          <w:tcPr>
            <w:tcW w:w="756" w:type="dxa"/>
            <w:tcBorders/>
            <w:vAlign w:val="bottom"/>
          </w:tcPr>
          <w:p>
            <w:pPr>
              <w:pStyle w:val="Normal"/>
              <w:snapToGrid w:val="false"/>
              <w:jc w:val="center"/>
              <w:rPr>
                <w:rFonts w:eastAsia="Arial Unicode MS" w:cs="Arial"/>
                <w:b/>
                <w:bCs/>
                <w:color w:val="FF0000"/>
                <w:sz w:val="24"/>
                <w:szCs w:val="20"/>
                <w:u w:val="single"/>
              </w:rPr>
            </w:pPr>
            <w:r>
              <w:rPr>
                <w:rFonts w:eastAsia="Arial Unicode MS" w:cs="Arial"/>
                <w:b/>
                <w:bCs/>
                <w:color w:val="FF0000"/>
                <w:sz w:val="24"/>
                <w:szCs w:val="20"/>
                <w:u w:val="single"/>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1)</w:t>
            </w:r>
          </w:p>
        </w:tc>
        <w:tc>
          <w:tcPr>
            <w:tcW w:w="6783" w:type="dxa"/>
            <w:tcBorders/>
            <w:vAlign w:val="bottom"/>
          </w:tcPr>
          <w:p>
            <w:pPr>
              <w:pStyle w:val="Normal"/>
              <w:rPr>
                <w:rFonts w:eastAsia="Arial Unicode MS" w:cs="Arial"/>
                <w:b/>
                <w:bCs/>
                <w:szCs w:val="20"/>
              </w:rPr>
            </w:pPr>
            <w:r>
              <w:rPr>
                <w:rFonts w:cs="Arial"/>
                <w:b/>
                <w:bCs/>
                <w:szCs w:val="20"/>
              </w:rPr>
              <w:t>NP Gammas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15 Mandays</w:t>
            </w:r>
          </w:p>
        </w:tc>
        <w:tc>
          <w:tcPr>
            <w:tcW w:w="2672" w:type="dxa"/>
            <w:gridSpan w:val="2"/>
            <w:tcBorders/>
            <w:vAlign w:val="bottom"/>
          </w:tcPr>
          <w:p>
            <w:pPr>
              <w:pStyle w:val="Normal"/>
              <w:rPr>
                <w:rFonts w:eastAsia="Arial Unicode MS" w:cs="Arial"/>
                <w:b/>
                <w:bCs/>
                <w:szCs w:val="20"/>
              </w:rPr>
            </w:pPr>
            <w:r>
              <w:rPr>
                <w:rFonts w:cs="Arial"/>
                <w:b/>
                <w:bCs/>
                <w:szCs w:val="20"/>
              </w:rPr>
              <w:t>Structuring, Research</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2)</w:t>
            </w:r>
          </w:p>
        </w:tc>
        <w:tc>
          <w:tcPr>
            <w:tcW w:w="6783" w:type="dxa"/>
            <w:tcBorders/>
            <w:vAlign w:val="bottom"/>
          </w:tcPr>
          <w:p>
            <w:pPr>
              <w:pStyle w:val="Normal"/>
              <w:rPr>
                <w:rFonts w:eastAsia="Arial Unicode MS" w:cs="Arial"/>
                <w:b/>
                <w:bCs/>
                <w:szCs w:val="20"/>
              </w:rPr>
            </w:pPr>
            <w:r>
              <w:rPr>
                <w:rFonts w:cs="Arial"/>
                <w:b/>
                <w:bCs/>
                <w:szCs w:val="20"/>
              </w:rPr>
              <w:t>TPL Gammas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25 Mandays</w:t>
            </w:r>
          </w:p>
        </w:tc>
        <w:tc>
          <w:tcPr>
            <w:tcW w:w="2672" w:type="dxa"/>
            <w:gridSpan w:val="2"/>
            <w:tcBorders/>
            <w:vAlign w:val="bottom"/>
          </w:tcPr>
          <w:p>
            <w:pPr>
              <w:pStyle w:val="Normal"/>
              <w:rPr>
                <w:rFonts w:eastAsia="Arial Unicode MS" w:cs="Arial"/>
                <w:b/>
                <w:bCs/>
                <w:szCs w:val="20"/>
              </w:rPr>
            </w:pPr>
            <w:r>
              <w:rPr>
                <w:rFonts w:cs="Arial"/>
                <w:b/>
                <w:bCs/>
                <w:szCs w:val="20"/>
              </w:rPr>
              <w:t>Structuring, Research</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3)</w:t>
            </w:r>
          </w:p>
        </w:tc>
        <w:tc>
          <w:tcPr>
            <w:tcW w:w="6783" w:type="dxa"/>
            <w:tcBorders/>
            <w:vAlign w:val="bottom"/>
          </w:tcPr>
          <w:p>
            <w:pPr>
              <w:pStyle w:val="Normal"/>
              <w:rPr>
                <w:rFonts w:eastAsia="Arial Unicode MS" w:cs="Arial"/>
                <w:b/>
                <w:bCs/>
                <w:szCs w:val="20"/>
              </w:rPr>
            </w:pPr>
            <w:r>
              <w:rPr>
                <w:rFonts w:cs="Arial"/>
                <w:b/>
                <w:bCs/>
                <w:szCs w:val="20"/>
              </w:rPr>
              <w:t>J Block Gammas and internal entity cashflows / deltas / gammas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Unassessed</w:t>
            </w:r>
          </w:p>
        </w:tc>
        <w:tc>
          <w:tcPr>
            <w:tcW w:w="2672" w:type="dxa"/>
            <w:gridSpan w:val="2"/>
            <w:tcBorders/>
            <w:vAlign w:val="bottom"/>
          </w:tcPr>
          <w:p>
            <w:pPr>
              <w:pStyle w:val="Normal"/>
              <w:rPr>
                <w:rFonts w:eastAsia="Arial Unicode MS" w:cs="Arial"/>
                <w:b/>
                <w:bCs/>
                <w:szCs w:val="20"/>
              </w:rPr>
            </w:pPr>
            <w:r>
              <w:rPr>
                <w:rFonts w:cs="Arial"/>
                <w:b/>
                <w:bCs/>
                <w:szCs w:val="20"/>
              </w:rPr>
              <w:t>Structuring, Research</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4)</w:t>
            </w:r>
          </w:p>
        </w:tc>
        <w:tc>
          <w:tcPr>
            <w:tcW w:w="6783" w:type="dxa"/>
            <w:tcBorders/>
            <w:vAlign w:val="bottom"/>
          </w:tcPr>
          <w:p>
            <w:pPr>
              <w:pStyle w:val="Normal"/>
              <w:rPr>
                <w:rFonts w:eastAsia="Arial Unicode MS" w:cs="Arial"/>
                <w:b/>
                <w:bCs/>
                <w:szCs w:val="20"/>
              </w:rPr>
            </w:pPr>
            <w:r>
              <w:rPr>
                <w:rFonts w:cs="Arial"/>
                <w:b/>
                <w:bCs/>
                <w:szCs w:val="20"/>
              </w:rPr>
              <w:t>Watershed Gammas (Not material) or Steam greeks</w:t>
            </w:r>
          </w:p>
        </w:tc>
        <w:tc>
          <w:tcPr>
            <w:tcW w:w="756" w:type="dxa"/>
            <w:tcBorders/>
            <w:vAlign w:val="bottom"/>
          </w:tcPr>
          <w:p>
            <w:pPr>
              <w:pStyle w:val="Normal"/>
              <w:jc w:val="center"/>
              <w:rPr>
                <w:rFonts w:eastAsia="Arial Unicode MS" w:cs="Arial"/>
                <w:b/>
                <w:bCs/>
                <w:szCs w:val="20"/>
              </w:rPr>
            </w:pPr>
            <w:r>
              <w:rPr>
                <w:rFonts w:cs="Arial"/>
                <w:b/>
                <w:bCs/>
                <w:szCs w:val="20"/>
              </w:rPr>
              <w:t>4</w:t>
            </w:r>
          </w:p>
        </w:tc>
        <w:tc>
          <w:tcPr>
            <w:tcW w:w="1316" w:type="dxa"/>
            <w:tcBorders/>
            <w:vAlign w:val="bottom"/>
          </w:tcPr>
          <w:p>
            <w:pPr>
              <w:pStyle w:val="Normal"/>
              <w:rPr>
                <w:rFonts w:eastAsia="Arial Unicode MS" w:cs="Arial"/>
                <w:b/>
                <w:bCs/>
                <w:szCs w:val="20"/>
              </w:rPr>
            </w:pPr>
            <w:r>
              <w:rPr>
                <w:rFonts w:cs="Arial"/>
                <w:b/>
                <w:bCs/>
                <w:szCs w:val="20"/>
              </w:rPr>
              <w:t>Unassessed</w:t>
            </w:r>
          </w:p>
        </w:tc>
        <w:tc>
          <w:tcPr>
            <w:tcW w:w="2672" w:type="dxa"/>
            <w:gridSpan w:val="2"/>
            <w:tcBorders/>
            <w:vAlign w:val="bottom"/>
          </w:tcPr>
          <w:p>
            <w:pPr>
              <w:pStyle w:val="Normal"/>
              <w:rPr>
                <w:rFonts w:eastAsia="Arial Unicode MS" w:cs="Arial"/>
                <w:b/>
                <w:bCs/>
                <w:szCs w:val="20"/>
              </w:rPr>
            </w:pPr>
            <w:r>
              <w:rPr>
                <w:rFonts w:cs="Arial"/>
                <w:b/>
                <w:bCs/>
                <w:szCs w:val="20"/>
              </w:rPr>
              <w:t>Structuring, Research</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jc w:val="end"/>
              <w:rPr>
                <w:rFonts w:eastAsia="Arial Unicode MS" w:cs="Arial"/>
                <w:b/>
                <w:bCs/>
                <w:szCs w:val="20"/>
              </w:rPr>
            </w:pPr>
            <w:r>
              <w:rPr>
                <w:rFonts w:cs="Arial"/>
                <w:b/>
                <w:bCs/>
                <w:szCs w:val="20"/>
              </w:rPr>
              <w:t>5)</w:t>
            </w:r>
          </w:p>
        </w:tc>
        <w:tc>
          <w:tcPr>
            <w:tcW w:w="6783" w:type="dxa"/>
            <w:tcBorders/>
            <w:vAlign w:val="bottom"/>
          </w:tcPr>
          <w:p>
            <w:pPr>
              <w:pStyle w:val="Normal"/>
              <w:rPr>
                <w:rFonts w:eastAsia="Arial Unicode MS" w:cs="Arial"/>
                <w:b/>
                <w:bCs/>
                <w:szCs w:val="20"/>
              </w:rPr>
            </w:pPr>
            <w:r>
              <w:rPr>
                <w:rFonts w:cs="Arial"/>
                <w:b/>
                <w:bCs/>
                <w:szCs w:val="20"/>
              </w:rPr>
              <w:t>Enron direct, cashflows by counterparty</w:t>
            </w:r>
          </w:p>
        </w:tc>
        <w:tc>
          <w:tcPr>
            <w:tcW w:w="756" w:type="dxa"/>
            <w:tcBorders/>
            <w:vAlign w:val="bottom"/>
          </w:tcPr>
          <w:p>
            <w:pPr>
              <w:pStyle w:val="Normal"/>
              <w:jc w:val="center"/>
              <w:rPr>
                <w:rFonts w:eastAsia="Arial Unicode MS" w:cs="Arial"/>
                <w:b/>
                <w:bCs/>
                <w:szCs w:val="20"/>
              </w:rPr>
            </w:pPr>
            <w:r>
              <w:rPr>
                <w:rFonts w:cs="Arial"/>
                <w:b/>
                <w:bCs/>
                <w:szCs w:val="20"/>
              </w:rPr>
              <w:t>5</w:t>
            </w:r>
          </w:p>
        </w:tc>
        <w:tc>
          <w:tcPr>
            <w:tcW w:w="1316" w:type="dxa"/>
            <w:tcBorders/>
            <w:vAlign w:val="bottom"/>
          </w:tcPr>
          <w:p>
            <w:pPr>
              <w:pStyle w:val="Normal"/>
              <w:rPr>
                <w:rFonts w:eastAsia="Arial Unicode MS" w:cs="Arial"/>
                <w:b/>
                <w:bCs/>
                <w:szCs w:val="20"/>
              </w:rPr>
            </w:pPr>
            <w:r>
              <w:rPr>
                <w:rFonts w:cs="Arial"/>
                <w:b/>
                <w:bCs/>
                <w:szCs w:val="20"/>
              </w:rPr>
              <w:t>Unassessed</w:t>
            </w:r>
          </w:p>
        </w:tc>
        <w:tc>
          <w:tcPr>
            <w:tcW w:w="1696" w:type="dxa"/>
            <w:tcBorders/>
            <w:vAlign w:val="bottom"/>
          </w:tcPr>
          <w:p>
            <w:pPr>
              <w:pStyle w:val="Normal"/>
              <w:rPr>
                <w:rFonts w:eastAsia="Arial Unicode MS" w:cs="Arial"/>
                <w:b/>
                <w:bCs/>
                <w:szCs w:val="20"/>
              </w:rPr>
            </w:pPr>
            <w:r>
              <w:rPr>
                <w:rFonts w:cs="Arial"/>
                <w:b/>
                <w:bCs/>
                <w:szCs w:val="20"/>
              </w:rPr>
              <w:t>CC, Risk / IT</w:t>
            </w:r>
          </w:p>
        </w:tc>
        <w:tc>
          <w:tcPr>
            <w:tcW w:w="976" w:type="dxa"/>
            <w:tcBorders/>
            <w:vAlign w:val="bottom"/>
          </w:tcPr>
          <w:p>
            <w:pPr>
              <w:pStyle w:val="Normal"/>
              <w:snapToGrid w:val="false"/>
              <w:rPr>
                <w:rFonts w:eastAsia="Arial Unicode MS" w:cs="Arial"/>
                <w:b/>
                <w:bCs/>
                <w:szCs w:val="20"/>
              </w:rPr>
            </w:pPr>
            <w:r>
              <w:rPr>
                <w:rFonts w:eastAsia="Arial Unicode MS" w:cs="Arial"/>
                <w:b/>
                <w:bCs/>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r>
        <w:trPr>
          <w:trHeight w:val="255" w:hRule="atLeast"/>
        </w:trPr>
        <w:tc>
          <w:tcPr>
            <w:tcW w:w="213" w:type="dxa"/>
            <w:tcBorders/>
            <w:vAlign w:val="bottom"/>
          </w:tcPr>
          <w:p>
            <w:pPr>
              <w:pStyle w:val="Normal"/>
              <w:snapToGrid w:val="false"/>
              <w:jc w:val="end"/>
              <w:rPr>
                <w:rFonts w:ascii="Times New Roman" w:hAnsi="Times New Roman" w:eastAsia="Arial Unicode MS" w:cs="Arial"/>
                <w:szCs w:val="20"/>
              </w:rPr>
            </w:pPr>
            <w:r>
              <w:rPr>
                <w:rFonts w:eastAsia="Arial Unicode MS" w:cs="Arial" w:ascii="Times New Roman" w:hAnsi="Times New Roman"/>
                <w:szCs w:val="20"/>
              </w:rPr>
            </w:r>
          </w:p>
        </w:tc>
        <w:tc>
          <w:tcPr>
            <w:tcW w:w="6783" w:type="dxa"/>
            <w:tcBorders/>
            <w:vAlign w:val="bottom"/>
          </w:tcPr>
          <w:p>
            <w:pPr>
              <w:pStyle w:val="Normal"/>
              <w:snapToGrid w:val="false"/>
              <w:rPr>
                <w:rFonts w:eastAsia="Arial Unicode MS" w:cs="Arial"/>
                <w:szCs w:val="20"/>
              </w:rPr>
            </w:pPr>
            <w:r>
              <w:rPr>
                <w:rFonts w:eastAsia="Arial Unicode MS" w:cs="Arial"/>
                <w:szCs w:val="20"/>
              </w:rPr>
            </w:r>
          </w:p>
        </w:tc>
        <w:tc>
          <w:tcPr>
            <w:tcW w:w="756" w:type="dxa"/>
            <w:tcBorders/>
            <w:vAlign w:val="bottom"/>
          </w:tcPr>
          <w:p>
            <w:pPr>
              <w:pStyle w:val="Normal"/>
              <w:snapToGrid w:val="false"/>
              <w:jc w:val="center"/>
              <w:rPr>
                <w:rFonts w:eastAsia="Arial Unicode MS" w:cs="Arial"/>
                <w:szCs w:val="20"/>
              </w:rPr>
            </w:pPr>
            <w:r>
              <w:rPr>
                <w:rFonts w:eastAsia="Arial Unicode MS" w:cs="Arial"/>
                <w:szCs w:val="20"/>
              </w:rPr>
            </w:r>
          </w:p>
        </w:tc>
        <w:tc>
          <w:tcPr>
            <w:tcW w:w="1316" w:type="dxa"/>
            <w:tcBorders/>
            <w:vAlign w:val="bottom"/>
          </w:tcPr>
          <w:p>
            <w:pPr>
              <w:pStyle w:val="Normal"/>
              <w:snapToGrid w:val="false"/>
              <w:rPr>
                <w:rFonts w:eastAsia="Arial Unicode MS" w:cs="Arial"/>
                <w:szCs w:val="20"/>
              </w:rPr>
            </w:pPr>
            <w:r>
              <w:rPr>
                <w:rFonts w:eastAsia="Arial Unicode MS" w:cs="Arial"/>
                <w:szCs w:val="20"/>
              </w:rPr>
            </w:r>
          </w:p>
        </w:tc>
        <w:tc>
          <w:tcPr>
            <w:tcW w:w="169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c>
          <w:tcPr>
            <w:tcW w:w="976" w:type="dxa"/>
            <w:tcBorders/>
            <w:vAlign w:val="bottom"/>
          </w:tcPr>
          <w:p>
            <w:pPr>
              <w:pStyle w:val="Normal"/>
              <w:snapToGrid w:val="false"/>
              <w:rPr>
                <w:rFonts w:eastAsia="Arial Unicode MS" w:cs="Arial"/>
                <w:szCs w:val="20"/>
              </w:rPr>
            </w:pPr>
            <w:r>
              <w:rPr>
                <w:rFonts w:eastAsia="Arial Unicode MS" w:cs="Arial"/>
                <w:szCs w:val="20"/>
              </w:rPr>
            </w:r>
          </w:p>
        </w:tc>
      </w:tr>
    </w:tbl>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lang w:val="en-GB"/>
        </w:rPr>
      </w:pPr>
      <w:r>
        <w:rPr>
          <w:lang w:val="en-GB"/>
        </w:rPr>
      </w:r>
    </w:p>
    <w:p>
      <w:pPr>
        <w:pStyle w:val="Normal"/>
        <w:ind w:start="1080" w:end="0"/>
        <w:rPr>
          <w:rFonts w:eastAsia="Arial"/>
          <w:lang w:val="en-GB"/>
        </w:rPr>
      </w:pPr>
      <w:r>
        <w:rPr>
          <w:rFonts w:eastAsia="Arial"/>
          <w:lang w:val="en-GB"/>
        </w:rPr>
        <w:t xml:space="preserve"> </w:t>
      </w:r>
    </w:p>
    <w:sectPr>
      <w:footerReference w:type="default" r:id="rId3"/>
      <w:footerReference w:type="first" r:id="rId4"/>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Created on 30/7/01</w:t>
      <w:tab/>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Created on 30/7/01</w:t>
      <w:tab/>
      <w:tab/>
      <w:t xml:space="preserve">Page </w:t>
    </w:r>
    <w:r>
      <w:rPr/>
      <w:fldChar w:fldCharType="begin"/>
    </w:r>
    <w:r>
      <w:rPr/>
      <w:instrText xml:space="preserve"> PAGE </w:instrText>
    </w:r>
    <w:r>
      <w:rPr/>
      <w:fldChar w:fldCharType="separate"/>
    </w:r>
    <w:r>
      <w:rPr/>
      <w:t>7</w:t>
    </w:r>
    <w:r>
      <w:rPr/>
      <w:fldChar w:fldCharType="end"/>
    </w:r>
    <w:r>
      <w:rPr/>
      <w:t xml:space="preserve"> of </w:t>
    </w:r>
    <w:r>
      <w:rPr/>
      <w:fldChar w:fldCharType="begin"/>
    </w:r>
    <w:r>
      <w:rPr/>
      <w:instrText xml:space="preserve"> NUMPAGES \* ARABIC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pStyle w:val="Heading2"/>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2">
    <w:lvl w:ilvl="0">
      <w:start w:val="1"/>
      <w:numFmt w:val="lowerLetter"/>
      <w:lvlText w:val="%1."/>
      <w:lvlJc w:val="start"/>
      <w:pPr>
        <w:tabs>
          <w:tab w:val="num" w:pos="1080"/>
        </w:tabs>
        <w:ind w:start="1080" w:hanging="36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Symbol" w:hAnsi="Symbol" w:cs="Symbol"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rPr/>
    </w:lvl>
    <w:lvl w:ilvl="1">
      <w:start w:val="1"/>
      <w:numFmt w:val="lowerLetter"/>
      <w:lvlText w:val="%2."/>
      <w:lvlJc w:val="start"/>
      <w:pPr>
        <w:tabs>
          <w:tab w:val="num" w:pos="1440"/>
        </w:tabs>
        <w:ind w:start="1440" w:hanging="360"/>
      </w:pPr>
      <w:rPr/>
    </w:lvl>
    <w:lvl w:ilvl="2">
      <w:start w:val="1"/>
      <w:numFmt w:val="lowerRoman"/>
      <w:lvlText w:val="%3)"/>
      <w:lvlJc w:val="start"/>
      <w:pPr>
        <w:tabs>
          <w:tab w:val="num" w:pos="1800"/>
        </w:tabs>
        <w:ind w:start="1800" w:hanging="360"/>
      </w:pPr>
      <w:rPr/>
    </w:lvl>
    <w:lvl w:ilvl="3">
      <w:start w:val="1"/>
      <w:numFmt w:val="decimal"/>
      <w:lvlText w:val="(%4)"/>
      <w:lvlJc w:val="start"/>
      <w:pPr>
        <w:tabs>
          <w:tab w:val="num" w:pos="2160"/>
        </w:tabs>
        <w:ind w:start="2160" w:hanging="360"/>
      </w:pPr>
      <w:rPr/>
    </w:lvl>
    <w:lvl w:ilvl="4">
      <w:start w:val="1"/>
      <w:numFmt w:val="lowerLetter"/>
      <w:lvlText w:val="(%5)"/>
      <w:lvlJc w:val="start"/>
      <w:pPr>
        <w:tabs>
          <w:tab w:val="num" w:pos="2520"/>
        </w:tabs>
        <w:ind w:start="2520" w:hanging="360"/>
      </w:pPr>
      <w:rPr/>
    </w:lvl>
    <w:lvl w:ilvl="5">
      <w:start w:val="1"/>
      <w:numFmt w:val="lowerRoman"/>
      <w:lvlText w:val="(%6)"/>
      <w:lvlJc w:val="start"/>
      <w:pPr>
        <w:tabs>
          <w:tab w:val="num" w:pos="2880"/>
        </w:tabs>
        <w:ind w:start="2880" w:hanging="360"/>
      </w:pPr>
      <w:rPr/>
    </w:lvl>
    <w:lvl w:ilvl="6">
      <w:start w:val="1"/>
      <w:numFmt w:val="decimal"/>
      <w:lvlText w:val="%7."/>
      <w:lvlJc w:val="start"/>
      <w:pPr>
        <w:tabs>
          <w:tab w:val="num" w:pos="3240"/>
        </w:tabs>
        <w:ind w:start="3240" w:hanging="360"/>
      </w:pPr>
      <w:rPr/>
    </w:lvl>
    <w:lvl w:ilvl="7">
      <w:start w:val="1"/>
      <w:numFmt w:val="lowerLetter"/>
      <w:lvlText w:val="%8."/>
      <w:lvlJc w:val="start"/>
      <w:pPr>
        <w:tabs>
          <w:tab w:val="num" w:pos="3600"/>
        </w:tabs>
        <w:ind w:start="3600" w:hanging="360"/>
      </w:pPr>
      <w:rPr/>
    </w:lvl>
    <w:lvl w:ilvl="8">
      <w:start w:val="1"/>
      <w:numFmt w:val="lowerRoman"/>
      <w:lvlText w:val="%9."/>
      <w:lvlJc w:val="start"/>
      <w:pPr>
        <w:tabs>
          <w:tab w:val="num" w:pos="3960"/>
        </w:tabs>
        <w:ind w:start="3960" w:hanging="360"/>
      </w:pPr>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spacing w:before="240" w:after="60"/>
      <w:outlineLvl w:val="2"/>
    </w:pPr>
    <w:rPr>
      <w:rFonts w:cs="Arial"/>
      <w:b/>
      <w:bCs/>
      <w:sz w:val="24"/>
      <w:szCs w:val="26"/>
    </w:rPr>
  </w:style>
  <w:style w:type="paragraph" w:styleId="Heading4">
    <w:name w:val="heading 4"/>
    <w:basedOn w:val="Normal"/>
    <w:next w:val="Normal"/>
    <w:qFormat/>
    <w:pPr>
      <w:keepNext w:val="true"/>
      <w:outlineLvl w:val="3"/>
    </w:pPr>
    <w:rPr>
      <w:sz w:val="28"/>
      <w:lang w:val="en-GB"/>
    </w:rPr>
  </w:style>
  <w:style w:type="paragraph" w:styleId="Heading5">
    <w:name w:val="heading 5"/>
    <w:basedOn w:val="Normal"/>
    <w:next w:val="Normal"/>
    <w:qFormat/>
    <w:pPr>
      <w:keepNext w:val="true"/>
      <w:autoSpaceDE w:val="false"/>
      <w:ind w:hanging="0" w:start="1080" w:end="0"/>
      <w:jc w:val="both"/>
      <w:outlineLvl w:val="4"/>
    </w:pPr>
    <w:rPr>
      <w:rFonts w:cs="Arial"/>
      <w:b/>
      <w:bCs/>
      <w:color w:val="000000"/>
      <w:szCs w:val="20"/>
      <w:lang w:val="en-GB"/>
    </w:rPr>
  </w:style>
  <w:style w:type="paragraph" w:styleId="Heading6">
    <w:name w:val="heading 6"/>
    <w:basedOn w:val="Normal"/>
    <w:next w:val="Normal"/>
    <w:qFormat/>
    <w:pPr>
      <w:keepNext w:val="true"/>
      <w:ind w:hanging="0" w:start="36" w:end="0"/>
      <w:outlineLvl w:val="5"/>
    </w:pPr>
    <w:rPr>
      <w:b/>
      <w:bCs/>
      <w:lang w:val="en-G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WW8Num6z0">
    <w:name w:val="WW8Num6z0"/>
    <w:qFormat/>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Symbol" w:hAnsi="Symbol" w:cs="Symbol"/>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rFonts w:ascii="Wingdings" w:hAnsi="Wingdings" w:cs="Wingdings"/>
      <w:sz w:val="16"/>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6z0">
    <w:name w:val="WW8Num36z0"/>
    <w:qFormat/>
    <w:rPr>
      <w:rFonts w:ascii="Symbol" w:hAnsi="Symbol" w:cs="Symbol"/>
    </w:rPr>
  </w:style>
  <w:style w:type="character" w:styleId="WW8Num36z2">
    <w:name w:val="WW8Num36z2"/>
    <w:qFormat/>
    <w:rPr>
      <w:rFonts w:ascii="Wingdings" w:hAnsi="Wingdings" w:cs="Wingdings"/>
    </w:rPr>
  </w:style>
  <w:style w:type="character" w:styleId="WW8Num36z4">
    <w:name w:val="WW8Num36z4"/>
    <w:qFormat/>
    <w:rPr>
      <w:rFonts w:ascii="Courier New" w:hAnsi="Courier New" w:cs="Courier New"/>
    </w:rPr>
  </w:style>
  <w:style w:type="character" w:styleId="WW8Num37z1">
    <w:name w:val="WW8Num37z1"/>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St15z0">
    <w:name w:val="WW8NumSt1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cs="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lang w:val="en-GB"/>
    </w:rPr>
  </w:style>
  <w:style w:type="paragraph" w:styleId="head4">
    <w:name w:val="head 4"/>
    <w:basedOn w:val="Heading3"/>
    <w:qFormat/>
    <w:pPr>
      <w:numPr>
        <w:ilvl w:val="0"/>
        <w:numId w:val="7"/>
      </w:numPr>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Cs w:val="20"/>
    </w:rPr>
  </w:style>
  <w:style w:type="paragraph" w:styleId="Salutation">
    <w:name w:val="Salutation"/>
    <w:basedOn w:val="Normal"/>
    <w:next w:val="Normal"/>
    <w:qFormat/>
    <w:pPr/>
    <w:rPr/>
  </w:style>
  <w:style w:type="paragraph" w:styleId="BodyTextIndent2">
    <w:name w:val="Body Text Indent 2"/>
    <w:basedOn w:val="Normal"/>
    <w:qFormat/>
    <w:pPr>
      <w:ind w:hanging="0" w:start="360" w:end="0"/>
    </w:pPr>
    <w:rPr>
      <w:lang w:val="en-GB"/>
    </w:rPr>
  </w:style>
  <w:style w:type="paragraph" w:styleId="BodyTextIndent3">
    <w:name w:val="Body Text Indent 3"/>
    <w:basedOn w:val="Normal"/>
    <w:qFormat/>
    <w:pPr>
      <w:autoSpaceDE w:val="false"/>
      <w:spacing w:lineRule="atLeast" w:line="240"/>
      <w:ind w:hanging="0" w:start="720" w:end="0"/>
    </w:pPr>
    <w:rPr>
      <w:rFonts w:cs="Arial"/>
      <w:color w:val="000000"/>
      <w:szCs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2001-08-23T10:19:00Z</dcterms:created>
  <dc:creator>tdonnell</dc:creator>
  <dc:description/>
  <dc:language>en-CA</dc:language>
  <cp:lastModifiedBy>jduncans</cp:lastModifiedBy>
  <cp:lastPrinted>2001-08-24T17:36:00Z</cp:lastPrinted>
  <dcterms:modified xsi:type="dcterms:W3CDTF">2001-08-24T14:40:00Z</dcterms:modified>
  <cp:revision>17</cp:revision>
  <dc:subject/>
  <dc:title>RAC Status Report as at 23 March 2001</dc:title>
</cp:coreProperties>
</file>