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embeddings/oleObject2.xlsx" ContentType="application/vnd.openxmlformats-officedocument.spreadsheetml.sheet"/>
  <Override PartName="/word/embeddings/oleObject3.xlsx" ContentType="application/vnd.openxmlformats-officedocument.spreadsheetml.sheet"/>
  <Override PartName="/word/embeddings/oleObject4.xlsx" ContentType="application/vnd.openxmlformats-officedocument.spreadsheetml.sheet"/>
  <Override PartName="/word/embeddings/oleObject5.xlsx" ContentType="application/vnd.openxmlformats-officedocument.spreadsheetml.sheet"/>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lang w:val="en-CA"/>
        </w:rPr>
      </w:pPr>
      <w:r>
        <w:rPr>
          <w:lang w:val="en-CA"/>
        </w:rPr>
        <mc:AlternateContent>
          <mc:Choice Requires="wpg">
            <w:drawing>
              <wp:anchor behindDoc="0" distT="0" distB="0" distL="114935" distR="113665" simplePos="0" locked="0" layoutInCell="1" allowOverlap="1" relativeHeight="15">
                <wp:simplePos x="0" y="0"/>
                <wp:positionH relativeFrom="column">
                  <wp:posOffset>-228600</wp:posOffset>
                </wp:positionH>
                <wp:positionV relativeFrom="paragraph">
                  <wp:posOffset>73660</wp:posOffset>
                </wp:positionV>
                <wp:extent cx="2785110" cy="2783840"/>
                <wp:effectExtent l="635" t="635" r="0" b="0"/>
                <wp:wrapNone/>
                <wp:docPr id="1" name=""/>
                <a:graphic xmlns:a="http://schemas.openxmlformats.org/drawingml/2006/main">
                  <a:graphicData uri="http://schemas.microsoft.com/office/word/2010/wordprocessingGroup">
                    <wpg:wgp>
                      <wpg:cNvGrpSpPr/>
                      <wpg:grpSpPr>
                        <a:xfrm>
                          <a:off x="0" y="0"/>
                          <a:ext cx="2784960" cy="2783880"/>
                          <a:chOff x="0" y="0"/>
                          <a:chExt cx="2784960" cy="2783880"/>
                        </a:xfrm>
                      </wpg:grpSpPr>
                      <wpg:grpSp>
                        <wpg:cNvGrpSpPr/>
                        <wpg:grpSpPr>
                          <a:xfrm>
                            <a:off x="0" y="1029240"/>
                            <a:ext cx="2784960" cy="1754640"/>
                          </a:xfrm>
                        </wpg:grpSpPr>
                        <wps:wsp>
                          <wps:cNvPr id="2" name=""/>
                          <wps:cNvSpPr/>
                          <wps:spPr>
                            <a:xfrm>
                              <a:off x="0" y="7560"/>
                              <a:ext cx="558000" cy="556200"/>
                            </a:xfrm>
                            <a:custGeom>
                              <a:avLst/>
                              <a:gdLst/>
                              <a:ahLst/>
                              <a:rect l="l" t="t" r="r" b="b"/>
                              <a:pathLst>
                                <a:path w="352" h="351">
                                  <a:moveTo>
                                    <a:pt x="0" y="225"/>
                                  </a:moveTo>
                                  <a:lnTo>
                                    <a:pt x="226" y="0"/>
                                  </a:lnTo>
                                  <a:lnTo>
                                    <a:pt x="351" y="125"/>
                                  </a:lnTo>
                                  <a:lnTo>
                                    <a:pt x="308" y="167"/>
                                  </a:lnTo>
                                  <a:lnTo>
                                    <a:pt x="230" y="90"/>
                                  </a:lnTo>
                                  <a:lnTo>
                                    <a:pt x="189" y="131"/>
                                  </a:lnTo>
                                  <a:lnTo>
                                    <a:pt x="265" y="208"/>
                                  </a:lnTo>
                                  <a:lnTo>
                                    <a:pt x="222" y="249"/>
                                  </a:lnTo>
                                  <a:lnTo>
                                    <a:pt x="146" y="174"/>
                                  </a:lnTo>
                                  <a:lnTo>
                                    <a:pt x="90" y="229"/>
                                  </a:lnTo>
                                  <a:lnTo>
                                    <a:pt x="168" y="307"/>
                                  </a:lnTo>
                                  <a:lnTo>
                                    <a:pt x="126" y="350"/>
                                  </a:lnTo>
                                  <a:lnTo>
                                    <a:pt x="0" y="225"/>
                                  </a:lnTo>
                                </a:path>
                              </a:pathLst>
                            </a:custGeom>
                            <a:solidFill>
                              <a:srgbClr val="1c77ff"/>
                            </a:solidFill>
                            <a:ln w="0">
                              <a:noFill/>
                            </a:ln>
                          </wps:spPr>
                          <wps:style>
                            <a:lnRef idx="0"/>
                            <a:fillRef idx="0"/>
                            <a:effectRef idx="0"/>
                            <a:fontRef idx="minor"/>
                          </wps:style>
                          <wps:bodyPr/>
                        </wps:wsp>
                        <wps:wsp>
                          <wps:cNvPr id="3" name=""/>
                          <wps:cNvSpPr/>
                          <wps:spPr>
                            <a:xfrm>
                              <a:off x="271080" y="279000"/>
                              <a:ext cx="592920" cy="592560"/>
                            </a:xfrm>
                            <a:custGeom>
                              <a:avLst/>
                              <a:gdLst/>
                              <a:ahLst/>
                              <a:rect l="l" t="t" r="r" b="b"/>
                              <a:pathLst>
                                <a:path w="374" h="374">
                                  <a:moveTo>
                                    <a:pt x="226" y="0"/>
                                  </a:moveTo>
                                  <a:lnTo>
                                    <a:pt x="282" y="56"/>
                                  </a:lnTo>
                                  <a:lnTo>
                                    <a:pt x="200" y="225"/>
                                  </a:lnTo>
                                  <a:lnTo>
                                    <a:pt x="201" y="226"/>
                                  </a:lnTo>
                                  <a:lnTo>
                                    <a:pt x="327" y="100"/>
                                  </a:lnTo>
                                  <a:lnTo>
                                    <a:pt x="373" y="146"/>
                                  </a:lnTo>
                                  <a:lnTo>
                                    <a:pt x="148" y="373"/>
                                  </a:lnTo>
                                  <a:lnTo>
                                    <a:pt x="94" y="319"/>
                                  </a:lnTo>
                                  <a:lnTo>
                                    <a:pt x="174" y="146"/>
                                  </a:lnTo>
                                  <a:lnTo>
                                    <a:pt x="48" y="272"/>
                                  </a:lnTo>
                                  <a:lnTo>
                                    <a:pt x="0" y="225"/>
                                  </a:lnTo>
                                  <a:lnTo>
                                    <a:pt x="226" y="0"/>
                                  </a:lnTo>
                                </a:path>
                              </a:pathLst>
                            </a:custGeom>
                            <a:solidFill>
                              <a:srgbClr val="1c77ff"/>
                            </a:solidFill>
                            <a:ln w="0">
                              <a:noFill/>
                            </a:ln>
                          </wps:spPr>
                          <wps:style>
                            <a:lnRef idx="0"/>
                            <a:fillRef idx="0"/>
                            <a:effectRef idx="0"/>
                            <a:fontRef idx="minor"/>
                          </wps:style>
                          <wps:bodyPr/>
                        </wps:wsp>
                        <wps:wsp>
                          <wps:cNvPr id="4" name=""/>
                          <wps:cNvSpPr/>
                          <wps:spPr>
                            <a:xfrm>
                              <a:off x="1160640" y="1166760"/>
                              <a:ext cx="591120" cy="587880"/>
                            </a:xfrm>
                            <a:custGeom>
                              <a:avLst/>
                              <a:gdLst/>
                              <a:ahLst/>
                              <a:rect l="l" t="t" r="r" b="b"/>
                              <a:pathLst>
                                <a:path w="373" h="371">
                                  <a:moveTo>
                                    <a:pt x="225" y="0"/>
                                  </a:moveTo>
                                  <a:lnTo>
                                    <a:pt x="281" y="56"/>
                                  </a:lnTo>
                                  <a:lnTo>
                                    <a:pt x="200" y="226"/>
                                  </a:lnTo>
                                  <a:lnTo>
                                    <a:pt x="325" y="100"/>
                                  </a:lnTo>
                                  <a:lnTo>
                                    <a:pt x="372" y="147"/>
                                  </a:lnTo>
                                  <a:lnTo>
                                    <a:pt x="147" y="370"/>
                                  </a:lnTo>
                                  <a:lnTo>
                                    <a:pt x="94" y="320"/>
                                  </a:lnTo>
                                  <a:lnTo>
                                    <a:pt x="174" y="146"/>
                                  </a:lnTo>
                                  <a:lnTo>
                                    <a:pt x="47" y="273"/>
                                  </a:lnTo>
                                  <a:lnTo>
                                    <a:pt x="0" y="225"/>
                                  </a:lnTo>
                                  <a:lnTo>
                                    <a:pt x="225" y="0"/>
                                  </a:lnTo>
                                </a:path>
                              </a:pathLst>
                            </a:custGeom>
                            <a:solidFill>
                              <a:srgbClr val="1c77ff"/>
                            </a:solidFill>
                            <a:ln w="0">
                              <a:noFill/>
                            </a:ln>
                          </wps:spPr>
                          <wps:style>
                            <a:lnRef idx="0"/>
                            <a:fillRef idx="0"/>
                            <a:effectRef idx="0"/>
                            <a:fontRef idx="minor"/>
                          </wps:style>
                          <wps:bodyPr/>
                        </wps:wsp>
                        <wps:wsp>
                          <wps:cNvPr id="5" name=""/>
                          <wps:cNvSpPr/>
                          <wps:spPr>
                            <a:xfrm>
                              <a:off x="930960" y="928440"/>
                              <a:ext cx="26640" cy="90000"/>
                            </a:xfrm>
                            <a:custGeom>
                              <a:avLst/>
                              <a:gdLst/>
                              <a:ahLst/>
                              <a:rect l="l" t="t" r="r" b="b"/>
                              <a:pathLst>
                                <a:path w="17" h="57">
                                  <a:moveTo>
                                    <a:pt x="0" y="0"/>
                                  </a:moveTo>
                                  <a:lnTo>
                                    <a:pt x="0" y="56"/>
                                  </a:lnTo>
                                  <a:lnTo>
                                    <a:pt x="2" y="53"/>
                                  </a:lnTo>
                                  <a:lnTo>
                                    <a:pt x="16" y="33"/>
                                  </a:lnTo>
                                  <a:lnTo>
                                    <a:pt x="13" y="14"/>
                                  </a:lnTo>
                                  <a:lnTo>
                                    <a:pt x="0" y="0"/>
                                  </a:lnTo>
                                </a:path>
                              </a:pathLst>
                            </a:custGeom>
                            <a:solidFill>
                              <a:srgbClr val="1c77ff"/>
                            </a:solidFill>
                            <a:ln w="0">
                              <a:noFill/>
                            </a:ln>
                          </wps:spPr>
                          <wps:style>
                            <a:lnRef idx="0"/>
                            <a:fillRef idx="0"/>
                            <a:effectRef idx="0"/>
                            <a:fontRef idx="minor"/>
                          </wps:style>
                          <wps:bodyPr/>
                        </wps:wsp>
                        <wps:wsp>
                          <wps:cNvPr id="6" name=""/>
                          <wps:cNvSpPr/>
                          <wps:spPr>
                            <a:xfrm>
                              <a:off x="930960" y="588240"/>
                              <a:ext cx="180360" cy="353160"/>
                            </a:xfrm>
                            <a:custGeom>
                              <a:avLst/>
                              <a:gdLst/>
                              <a:ahLst/>
                              <a:rect l="l" t="t" r="r" b="b"/>
                              <a:pathLst>
                                <a:path w="114" h="223">
                                  <a:moveTo>
                                    <a:pt x="0" y="164"/>
                                  </a:moveTo>
                                  <a:lnTo>
                                    <a:pt x="0" y="211"/>
                                  </a:lnTo>
                                  <a:lnTo>
                                    <a:pt x="10" y="216"/>
                                  </a:lnTo>
                                  <a:lnTo>
                                    <a:pt x="22" y="221"/>
                                  </a:lnTo>
                                  <a:lnTo>
                                    <a:pt x="33" y="222"/>
                                  </a:lnTo>
                                  <a:lnTo>
                                    <a:pt x="44" y="221"/>
                                  </a:lnTo>
                                  <a:lnTo>
                                    <a:pt x="66" y="211"/>
                                  </a:lnTo>
                                  <a:lnTo>
                                    <a:pt x="88" y="192"/>
                                  </a:lnTo>
                                  <a:lnTo>
                                    <a:pt x="103" y="174"/>
                                  </a:lnTo>
                                  <a:lnTo>
                                    <a:pt x="111" y="155"/>
                                  </a:lnTo>
                                  <a:lnTo>
                                    <a:pt x="113" y="138"/>
                                  </a:lnTo>
                                  <a:lnTo>
                                    <a:pt x="109" y="121"/>
                                  </a:lnTo>
                                  <a:lnTo>
                                    <a:pt x="101" y="103"/>
                                  </a:lnTo>
                                  <a:lnTo>
                                    <a:pt x="88" y="85"/>
                                  </a:lnTo>
                                  <a:lnTo>
                                    <a:pt x="53" y="48"/>
                                  </a:lnTo>
                                  <a:lnTo>
                                    <a:pt x="6" y="0"/>
                                  </a:lnTo>
                                  <a:lnTo>
                                    <a:pt x="0" y="6"/>
                                  </a:lnTo>
                                  <a:lnTo>
                                    <a:pt x="0" y="100"/>
                                  </a:lnTo>
                                  <a:lnTo>
                                    <a:pt x="19" y="82"/>
                                  </a:lnTo>
                                  <a:lnTo>
                                    <a:pt x="34" y="100"/>
                                  </a:lnTo>
                                  <a:lnTo>
                                    <a:pt x="41" y="117"/>
                                  </a:lnTo>
                                  <a:lnTo>
                                    <a:pt x="40" y="134"/>
                                  </a:lnTo>
                                  <a:lnTo>
                                    <a:pt x="28" y="151"/>
                                  </a:lnTo>
                                  <a:lnTo>
                                    <a:pt x="12" y="163"/>
                                  </a:lnTo>
                                  <a:lnTo>
                                    <a:pt x="0" y="164"/>
                                  </a:lnTo>
                                </a:path>
                              </a:pathLst>
                            </a:custGeom>
                            <a:solidFill>
                              <a:srgbClr val="1c77ff"/>
                            </a:solidFill>
                            <a:ln w="0">
                              <a:noFill/>
                            </a:ln>
                          </wps:spPr>
                          <wps:style>
                            <a:lnRef idx="0"/>
                            <a:fillRef idx="0"/>
                            <a:effectRef idx="0"/>
                            <a:fontRef idx="minor"/>
                          </wps:style>
                          <wps:bodyPr/>
                        </wps:wsp>
                        <wps:wsp>
                          <wps:cNvPr id="7" name=""/>
                          <wps:cNvSpPr/>
                          <wps:spPr>
                            <a:xfrm>
                              <a:off x="581760" y="597600"/>
                              <a:ext cx="350640" cy="575280"/>
                            </a:xfrm>
                            <a:custGeom>
                              <a:avLst/>
                              <a:gdLst/>
                              <a:ahLst/>
                              <a:rect l="l" t="t" r="r" b="b"/>
                              <a:pathLst>
                                <a:path w="221" h="363">
                                  <a:moveTo>
                                    <a:pt x="220" y="94"/>
                                  </a:moveTo>
                                  <a:lnTo>
                                    <a:pt x="220" y="0"/>
                                  </a:lnTo>
                                  <a:lnTo>
                                    <a:pt x="0" y="220"/>
                                  </a:lnTo>
                                  <a:lnTo>
                                    <a:pt x="47" y="267"/>
                                  </a:lnTo>
                                  <a:lnTo>
                                    <a:pt x="144" y="170"/>
                                  </a:lnTo>
                                  <a:lnTo>
                                    <a:pt x="153" y="179"/>
                                  </a:lnTo>
                                  <a:lnTo>
                                    <a:pt x="161" y="189"/>
                                  </a:lnTo>
                                  <a:lnTo>
                                    <a:pt x="167" y="204"/>
                                  </a:lnTo>
                                  <a:lnTo>
                                    <a:pt x="167" y="221"/>
                                  </a:lnTo>
                                  <a:lnTo>
                                    <a:pt x="159" y="234"/>
                                  </a:lnTo>
                                  <a:lnTo>
                                    <a:pt x="120" y="274"/>
                                  </a:lnTo>
                                  <a:lnTo>
                                    <a:pt x="105" y="292"/>
                                  </a:lnTo>
                                  <a:lnTo>
                                    <a:pt x="99" y="302"/>
                                  </a:lnTo>
                                  <a:lnTo>
                                    <a:pt x="95" y="315"/>
                                  </a:lnTo>
                                  <a:lnTo>
                                    <a:pt x="142" y="362"/>
                                  </a:lnTo>
                                  <a:lnTo>
                                    <a:pt x="146" y="350"/>
                                  </a:lnTo>
                                  <a:lnTo>
                                    <a:pt x="152" y="339"/>
                                  </a:lnTo>
                                  <a:lnTo>
                                    <a:pt x="167" y="321"/>
                                  </a:lnTo>
                                  <a:lnTo>
                                    <a:pt x="201" y="286"/>
                                  </a:lnTo>
                                  <a:lnTo>
                                    <a:pt x="220" y="265"/>
                                  </a:lnTo>
                                  <a:lnTo>
                                    <a:pt x="220" y="209"/>
                                  </a:lnTo>
                                  <a:lnTo>
                                    <a:pt x="216" y="204"/>
                                  </a:lnTo>
                                  <a:lnTo>
                                    <a:pt x="217" y="203"/>
                                  </a:lnTo>
                                  <a:lnTo>
                                    <a:pt x="220" y="205"/>
                                  </a:lnTo>
                                  <a:lnTo>
                                    <a:pt x="220" y="158"/>
                                  </a:lnTo>
                                  <a:lnTo>
                                    <a:pt x="215" y="158"/>
                                  </a:lnTo>
                                  <a:lnTo>
                                    <a:pt x="196" y="151"/>
                                  </a:lnTo>
                                  <a:lnTo>
                                    <a:pt x="178" y="136"/>
                                  </a:lnTo>
                                  <a:lnTo>
                                    <a:pt x="220" y="94"/>
                                  </a:lnTo>
                                </a:path>
                              </a:pathLst>
                            </a:custGeom>
                            <a:solidFill>
                              <a:srgbClr val="1c77ff"/>
                            </a:solidFill>
                            <a:ln w="0">
                              <a:noFill/>
                            </a:ln>
                          </wps:spPr>
                          <wps:style>
                            <a:lnRef idx="0"/>
                            <a:fillRef idx="0"/>
                            <a:effectRef idx="0"/>
                            <a:fontRef idx="minor"/>
                          </wps:style>
                          <wps:bodyPr/>
                        </wps:wsp>
                        <wps:wsp>
                          <wps:cNvPr id="8" name=""/>
                          <wps:cNvSpPr/>
                          <wps:spPr>
                            <a:xfrm>
                              <a:off x="1159560" y="928440"/>
                              <a:ext cx="237600" cy="444960"/>
                            </a:xfrm>
                            <a:custGeom>
                              <a:avLst/>
                              <a:gdLst/>
                              <a:ahLst/>
                              <a:rect l="l" t="t" r="r" b="b"/>
                              <a:pathLst>
                                <a:path w="150" h="281">
                                  <a:moveTo>
                                    <a:pt x="0" y="189"/>
                                  </a:moveTo>
                                  <a:lnTo>
                                    <a:pt x="0" y="280"/>
                                  </a:lnTo>
                                  <a:lnTo>
                                    <a:pt x="20" y="263"/>
                                  </a:lnTo>
                                  <a:lnTo>
                                    <a:pt x="115" y="168"/>
                                  </a:lnTo>
                                  <a:lnTo>
                                    <a:pt x="133" y="147"/>
                                  </a:lnTo>
                                  <a:lnTo>
                                    <a:pt x="143" y="128"/>
                                  </a:lnTo>
                                  <a:lnTo>
                                    <a:pt x="148" y="109"/>
                                  </a:lnTo>
                                  <a:lnTo>
                                    <a:pt x="149" y="91"/>
                                  </a:lnTo>
                                  <a:lnTo>
                                    <a:pt x="145" y="75"/>
                                  </a:lnTo>
                                  <a:lnTo>
                                    <a:pt x="138" y="58"/>
                                  </a:lnTo>
                                  <a:lnTo>
                                    <a:pt x="117" y="31"/>
                                  </a:lnTo>
                                  <a:lnTo>
                                    <a:pt x="89" y="10"/>
                                  </a:lnTo>
                                  <a:lnTo>
                                    <a:pt x="73" y="4"/>
                                  </a:lnTo>
                                  <a:lnTo>
                                    <a:pt x="56" y="0"/>
                                  </a:lnTo>
                                  <a:lnTo>
                                    <a:pt x="39" y="0"/>
                                  </a:lnTo>
                                  <a:lnTo>
                                    <a:pt x="20" y="5"/>
                                  </a:lnTo>
                                  <a:lnTo>
                                    <a:pt x="1" y="15"/>
                                  </a:lnTo>
                                  <a:lnTo>
                                    <a:pt x="0" y="16"/>
                                  </a:lnTo>
                                  <a:lnTo>
                                    <a:pt x="0" y="108"/>
                                  </a:lnTo>
                                  <a:lnTo>
                                    <a:pt x="40" y="67"/>
                                  </a:lnTo>
                                  <a:lnTo>
                                    <a:pt x="49" y="61"/>
                                  </a:lnTo>
                                  <a:lnTo>
                                    <a:pt x="58" y="61"/>
                                  </a:lnTo>
                                  <a:lnTo>
                                    <a:pt x="70" y="63"/>
                                  </a:lnTo>
                                  <a:lnTo>
                                    <a:pt x="79" y="69"/>
                                  </a:lnTo>
                                  <a:lnTo>
                                    <a:pt x="86" y="78"/>
                                  </a:lnTo>
                                  <a:lnTo>
                                    <a:pt x="88" y="89"/>
                                  </a:lnTo>
                                  <a:lnTo>
                                    <a:pt x="87" y="99"/>
                                  </a:lnTo>
                                  <a:lnTo>
                                    <a:pt x="81" y="107"/>
                                  </a:lnTo>
                                  <a:lnTo>
                                    <a:pt x="0" y="189"/>
                                  </a:lnTo>
                                </a:path>
                              </a:pathLst>
                            </a:custGeom>
                            <a:solidFill>
                              <a:srgbClr val="1c77ff"/>
                            </a:solidFill>
                            <a:ln w="0">
                              <a:noFill/>
                            </a:ln>
                          </wps:spPr>
                          <wps:style>
                            <a:lnRef idx="0"/>
                            <a:fillRef idx="0"/>
                            <a:effectRef idx="0"/>
                            <a:fontRef idx="minor"/>
                          </wps:style>
                          <wps:bodyPr/>
                        </wps:wsp>
                        <wps:wsp>
                          <wps:cNvPr id="9" name=""/>
                          <wps:cNvSpPr/>
                          <wps:spPr>
                            <a:xfrm>
                              <a:off x="924480" y="954000"/>
                              <a:ext cx="236160" cy="446400"/>
                            </a:xfrm>
                            <a:custGeom>
                              <a:avLst/>
                              <a:gdLst/>
                              <a:ahLst/>
                              <a:rect l="l" t="t" r="r" b="b"/>
                              <a:pathLst>
                                <a:path w="149" h="282">
                                  <a:moveTo>
                                    <a:pt x="148" y="92"/>
                                  </a:moveTo>
                                  <a:lnTo>
                                    <a:pt x="148" y="0"/>
                                  </a:lnTo>
                                  <a:lnTo>
                                    <a:pt x="128" y="17"/>
                                  </a:lnTo>
                                  <a:lnTo>
                                    <a:pt x="32" y="113"/>
                                  </a:lnTo>
                                  <a:lnTo>
                                    <a:pt x="16" y="132"/>
                                  </a:lnTo>
                                  <a:lnTo>
                                    <a:pt x="6" y="152"/>
                                  </a:lnTo>
                                  <a:lnTo>
                                    <a:pt x="0" y="170"/>
                                  </a:lnTo>
                                  <a:lnTo>
                                    <a:pt x="0" y="189"/>
                                  </a:lnTo>
                                  <a:lnTo>
                                    <a:pt x="3" y="206"/>
                                  </a:lnTo>
                                  <a:lnTo>
                                    <a:pt x="10" y="222"/>
                                  </a:lnTo>
                                  <a:lnTo>
                                    <a:pt x="31" y="249"/>
                                  </a:lnTo>
                                  <a:lnTo>
                                    <a:pt x="58" y="271"/>
                                  </a:lnTo>
                                  <a:lnTo>
                                    <a:pt x="74" y="277"/>
                                  </a:lnTo>
                                  <a:lnTo>
                                    <a:pt x="91" y="281"/>
                                  </a:lnTo>
                                  <a:lnTo>
                                    <a:pt x="109" y="280"/>
                                  </a:lnTo>
                                  <a:lnTo>
                                    <a:pt x="128" y="275"/>
                                  </a:lnTo>
                                  <a:lnTo>
                                    <a:pt x="148" y="264"/>
                                  </a:lnTo>
                                  <a:lnTo>
                                    <a:pt x="148" y="173"/>
                                  </a:lnTo>
                                  <a:lnTo>
                                    <a:pt x="108" y="213"/>
                                  </a:lnTo>
                                  <a:lnTo>
                                    <a:pt x="99" y="218"/>
                                  </a:lnTo>
                                  <a:lnTo>
                                    <a:pt x="89" y="220"/>
                                  </a:lnTo>
                                  <a:lnTo>
                                    <a:pt x="78" y="218"/>
                                  </a:lnTo>
                                  <a:lnTo>
                                    <a:pt x="69" y="211"/>
                                  </a:lnTo>
                                  <a:lnTo>
                                    <a:pt x="62" y="202"/>
                                  </a:lnTo>
                                  <a:lnTo>
                                    <a:pt x="60" y="191"/>
                                  </a:lnTo>
                                  <a:lnTo>
                                    <a:pt x="62" y="181"/>
                                  </a:lnTo>
                                  <a:lnTo>
                                    <a:pt x="68" y="173"/>
                                  </a:lnTo>
                                  <a:lnTo>
                                    <a:pt x="148" y="92"/>
                                  </a:lnTo>
                                </a:path>
                              </a:pathLst>
                            </a:custGeom>
                            <a:solidFill>
                              <a:srgbClr val="1c77ff"/>
                            </a:solidFill>
                            <a:ln w="0">
                              <a:noFill/>
                            </a:ln>
                          </wps:spPr>
                          <wps:style>
                            <a:lnRef idx="0"/>
                            <a:fillRef idx="0"/>
                            <a:effectRef idx="0"/>
                            <a:fontRef idx="minor"/>
                          </wps:style>
                          <wps:bodyPr/>
                        </wps:wsp>
                        <wps:wsp>
                          <wps:cNvPr id="10" name=""/>
                          <wps:cNvSpPr/>
                          <wps:spPr>
                            <a:xfrm>
                              <a:off x="1676520" y="0"/>
                              <a:ext cx="1108800" cy="1400760"/>
                            </a:xfrm>
                            <a:custGeom>
                              <a:avLst/>
                              <a:gdLst/>
                              <a:ahLst/>
                              <a:rect l="l" t="t" r="r" b="b"/>
                              <a:pathLst>
                                <a:path w="699" h="884">
                                  <a:moveTo>
                                    <a:pt x="698" y="230"/>
                                  </a:moveTo>
                                  <a:lnTo>
                                    <a:pt x="471" y="0"/>
                                  </a:lnTo>
                                  <a:lnTo>
                                    <a:pt x="7" y="463"/>
                                  </a:lnTo>
                                  <a:lnTo>
                                    <a:pt x="54" y="510"/>
                                  </a:lnTo>
                                  <a:lnTo>
                                    <a:pt x="471" y="94"/>
                                  </a:lnTo>
                                  <a:lnTo>
                                    <a:pt x="606" y="230"/>
                                  </a:lnTo>
                                  <a:lnTo>
                                    <a:pt x="0" y="836"/>
                                  </a:lnTo>
                                  <a:lnTo>
                                    <a:pt x="47" y="883"/>
                                  </a:lnTo>
                                  <a:lnTo>
                                    <a:pt x="698" y="230"/>
                                  </a:lnTo>
                                </a:path>
                              </a:pathLst>
                            </a:custGeom>
                            <a:solidFill>
                              <a:srgbClr val="1c77ff"/>
                            </a:solidFill>
                            <a:ln w="0">
                              <a:noFill/>
                            </a:ln>
                          </wps:spPr>
                          <wps:style>
                            <a:lnRef idx="0"/>
                            <a:fillRef idx="0"/>
                            <a:effectRef idx="0"/>
                            <a:fontRef idx="minor"/>
                          </wps:style>
                          <wps:bodyPr/>
                        </wps:wsp>
                      </wpg:grpSp>
                      <wps:wsp>
                        <wps:cNvPr id="11" name=""/>
                        <wps:cNvSpPr/>
                        <wps:spPr>
                          <a:xfrm>
                            <a:off x="358200" y="0"/>
                            <a:ext cx="1402560" cy="1400760"/>
                          </a:xfrm>
                          <a:custGeom>
                            <a:avLst/>
                            <a:gdLst/>
                            <a:ahLst/>
                            <a:rect l="l" t="t" r="r" b="b"/>
                            <a:pathLst>
                              <a:path w="884" h="883">
                                <a:moveTo>
                                  <a:pt x="561" y="835"/>
                                </a:moveTo>
                                <a:lnTo>
                                  <a:pt x="419" y="694"/>
                                </a:lnTo>
                                <a:lnTo>
                                  <a:pt x="883" y="230"/>
                                </a:lnTo>
                                <a:lnTo>
                                  <a:pt x="653" y="0"/>
                                </a:lnTo>
                                <a:lnTo>
                                  <a:pt x="0" y="654"/>
                                </a:lnTo>
                                <a:lnTo>
                                  <a:pt x="47" y="701"/>
                                </a:lnTo>
                                <a:lnTo>
                                  <a:pt x="653" y="95"/>
                                </a:lnTo>
                                <a:lnTo>
                                  <a:pt x="788" y="230"/>
                                </a:lnTo>
                                <a:lnTo>
                                  <a:pt x="325" y="694"/>
                                </a:lnTo>
                                <a:lnTo>
                                  <a:pt x="514" y="882"/>
                                </a:lnTo>
                                <a:lnTo>
                                  <a:pt x="561" y="835"/>
                                </a:lnTo>
                              </a:path>
                            </a:pathLst>
                          </a:custGeom>
                          <a:solidFill>
                            <a:srgbClr val="ff0017"/>
                          </a:solidFill>
                          <a:ln w="0">
                            <a:noFill/>
                          </a:ln>
                        </wps:spPr>
                        <wps:style>
                          <a:lnRef idx="0"/>
                          <a:fillRef idx="0"/>
                          <a:effectRef idx="0"/>
                          <a:fontRef idx="minor"/>
                        </wps:style>
                        <wps:bodyPr/>
                      </wps:wsp>
                      <wps:wsp>
                        <wps:cNvPr id="12" name=""/>
                        <wps:cNvSpPr/>
                        <wps:spPr>
                          <a:xfrm>
                            <a:off x="1173960" y="513720"/>
                            <a:ext cx="1102320" cy="1402200"/>
                          </a:xfrm>
                          <a:custGeom>
                            <a:avLst/>
                            <a:gdLst/>
                            <a:ahLst/>
                            <a:rect l="l" t="t" r="r" b="b"/>
                            <a:pathLst>
                              <a:path w="695" h="884">
                                <a:moveTo>
                                  <a:pt x="371" y="835"/>
                                </a:moveTo>
                                <a:lnTo>
                                  <a:pt x="230" y="694"/>
                                </a:lnTo>
                                <a:lnTo>
                                  <a:pt x="694" y="231"/>
                                </a:lnTo>
                                <a:lnTo>
                                  <a:pt x="463" y="0"/>
                                </a:lnTo>
                                <a:lnTo>
                                  <a:pt x="0" y="464"/>
                                </a:lnTo>
                                <a:lnTo>
                                  <a:pt x="47" y="511"/>
                                </a:lnTo>
                                <a:lnTo>
                                  <a:pt x="463" y="95"/>
                                </a:lnTo>
                                <a:lnTo>
                                  <a:pt x="599" y="231"/>
                                </a:lnTo>
                                <a:lnTo>
                                  <a:pt x="136" y="694"/>
                                </a:lnTo>
                                <a:lnTo>
                                  <a:pt x="324" y="883"/>
                                </a:lnTo>
                                <a:lnTo>
                                  <a:pt x="371" y="835"/>
                                </a:lnTo>
                              </a:path>
                            </a:pathLst>
                          </a:custGeom>
                          <a:solidFill>
                            <a:srgbClr val="66ff66"/>
                          </a:solidFill>
                          <a:ln w="0">
                            <a:noFill/>
                          </a:ln>
                        </wps:spPr>
                        <wps:style>
                          <a:lnRef idx="0"/>
                          <a:fillRef idx="0"/>
                          <a:effectRef idx="0"/>
                          <a:fontRef idx="minor"/>
                        </wps:style>
                        <wps:bodyPr/>
                      </wps:wsp>
                    </wpg:wgp>
                  </a:graphicData>
                </a:graphic>
              </wp:anchor>
            </w:drawing>
          </mc:Choice>
          <mc:Fallback>
            <w:pict>
              <v:group id="shape_0" style="position:absolute;margin-left:-18pt;margin-top:5.8pt;width:219.3pt;height:219.25pt" coordorigin="-360,116" coordsize="4386,4385">
                <v:group id="shape_0" style="position:absolute;left:-360;top:1737;width:4386;height:2763">
                  <v:shape id="shape_0" coordsize="352,351" path="m0,225l226,0l351,125l308,167l230,90l189,131l265,208l222,249l146,174l90,229l168,307l126,350l0,225e" fillcolor="#1c77ff" stroked="f" o:allowincell="f" style="position:absolute;left:-360;top:1749;width:878;height:875;mso-wrap-style:none;v-text-anchor:middle">
                    <v:fill o:detectmouseclick="t" type="solid" color2="#e38800"/>
                    <v:stroke color="#3465a4" joinstyle="round" endcap="flat"/>
                    <w10:wrap type="none"/>
                  </v:shape>
                  <v:shape id="shape_0" coordsize="374,374" path="m226,0l282,56l200,225l201,226l327,100l373,146l148,373l94,319l174,146l48,272l0,225l226,0e" fillcolor="#1c77ff" stroked="f" o:allowincell="f" style="position:absolute;left:67;top:2176;width:933;height:932;mso-wrap-style:none;v-text-anchor:middle">
                    <v:fill o:detectmouseclick="t" type="solid" color2="#e38800"/>
                    <v:stroke color="#3465a4" joinstyle="round" endcap="flat"/>
                    <w10:wrap type="none"/>
                  </v:shape>
                  <v:shape id="shape_0" coordsize="373,371" path="m225,0l281,56l200,226l325,100l372,147l147,370l94,320l174,146l47,273l0,225l225,0e" fillcolor="#1c77ff" stroked="f" o:allowincell="f" style="position:absolute;left:1468;top:3574;width:930;height:925;mso-wrap-style:none;v-text-anchor:middle">
                    <v:fill o:detectmouseclick="t" type="solid" color2="#e38800"/>
                    <v:stroke color="#3465a4" joinstyle="round" endcap="flat"/>
                    <w10:wrap type="none"/>
                  </v:shape>
                  <v:shape id="shape_0" coordsize="17,57" path="m0,0l0,56l2,53l16,33l13,14l0,0e" fillcolor="#1c77ff" stroked="f" o:allowincell="f" style="position:absolute;left:1106;top:3199;width:41;height:141;mso-wrap-style:none;v-text-anchor:middle">
                    <v:fill o:detectmouseclick="t" type="solid" color2="#e38800"/>
                    <v:stroke color="#3465a4" joinstyle="round" endcap="flat"/>
                    <w10:wrap type="none"/>
                  </v:shape>
                  <v:shape id="shape_0" coordsize="114,223" path="m0,164l0,211l10,216l22,221l33,222l44,221l66,211l88,192l103,174l111,155l113,138l109,121l101,103l88,85l53,48l6,0l0,6l0,100l19,82l34,100l41,117l40,134l28,151l12,163l0,164e" fillcolor="#1c77ff" stroked="f" o:allowincell="f" style="position:absolute;left:1106;top:2663;width:283;height:555;mso-wrap-style:none;v-text-anchor:middle">
                    <v:fill o:detectmouseclick="t" type="solid" color2="#e38800"/>
                    <v:stroke color="#3465a4" joinstyle="round" endcap="flat"/>
                    <w10:wrap type="none"/>
                  </v:shape>
                  <v:shape id="shape_0" coordsize="221,363" path="m220,94l220,0l0,220l47,267l144,170l153,179l161,189l167,204l167,221l159,234l120,274l105,292l99,302l95,315l142,362l146,350l152,339l167,321l201,286l220,265l220,209l216,204l217,203l220,205l220,158l215,158l196,151l178,136l220,94e" fillcolor="#1c77ff" stroked="f" o:allowincell="f" style="position:absolute;left:556;top:2678;width:551;height:905;mso-wrap-style:none;v-text-anchor:middle">
                    <v:fill o:detectmouseclick="t" type="solid" color2="#e38800"/>
                    <v:stroke color="#3465a4" joinstyle="round" endcap="flat"/>
                    <w10:wrap type="none"/>
                  </v:shape>
                  <v:shape id="shape_0" coordsize="150,281" path="m0,189l0,280l20,263l115,168l133,147l143,128l148,109l149,91l145,75l138,58l117,31l89,10l73,4l56,0l39,0l20,5l1,15l0,16l0,108l40,67l49,61l58,61l70,63l79,69l86,78l88,89l87,99l81,107l0,189e" fillcolor="#1c77ff" stroked="f" o:allowincell="f" style="position:absolute;left:1466;top:3199;width:373;height:700;mso-wrap-style:none;v-text-anchor:middle">
                    <v:fill o:detectmouseclick="t" type="solid" color2="#e38800"/>
                    <v:stroke color="#3465a4" joinstyle="round" endcap="flat"/>
                    <w10:wrap type="none"/>
                  </v:shape>
                  <v:shape id="shape_0" coordsize="149,282" path="m148,92l148,0l128,17l32,113l16,132l6,152l0,170l0,189l3,206l10,222l31,249l58,271l74,277l91,281l109,280l128,275l148,264l148,173l108,213l99,218l89,220l78,218l69,211l62,202l60,191l62,181l68,173l148,92e" fillcolor="#1c77ff" stroked="f" o:allowincell="f" style="position:absolute;left:1096;top:3239;width:371;height:702;mso-wrap-style:none;v-text-anchor:middle">
                    <v:fill o:detectmouseclick="t" type="solid" color2="#e38800"/>
                    <v:stroke color="#3465a4" joinstyle="round" endcap="flat"/>
                    <w10:wrap type="none"/>
                  </v:shape>
                  <v:shape id="shape_0" coordsize="699,884" path="m698,230l471,0l7,463l54,510l471,94l606,230l0,836l47,883l698,230e" fillcolor="#1c77ff" stroked="f" o:allowincell="f" style="position:absolute;left:2280;top:1737;width:1745;height:2205;mso-wrap-style:none;v-text-anchor:middle">
                    <v:fill o:detectmouseclick="t" type="solid" color2="#e38800"/>
                    <v:stroke color="#3465a4" joinstyle="round" endcap="flat"/>
                    <w10:wrap type="none"/>
                  </v:shape>
                </v:group>
                <v:shape id="shape_0" coordsize="884,883" path="m561,835l419,694l883,230l653,0l0,654l47,701l653,95l788,230l325,694l514,882l561,835e" fillcolor="#ff0017" stroked="f" o:allowincell="f" style="position:absolute;left:204;top:116;width:2208;height:2205;mso-wrap-style:none;v-text-anchor:middle">
                  <v:fill o:detectmouseclick="t" type="solid" color2="#00ffe8"/>
                  <v:stroke color="#3465a4" joinstyle="round" endcap="flat"/>
                  <w10:wrap type="none"/>
                </v:shape>
                <v:shape id="shape_0" coordsize="695,884" path="m371,835l230,694l694,231l463,0l0,464l47,511l463,95l599,231l136,694l324,883l371,835e" fillcolor="#66ff66" stroked="f" o:allowincell="f" style="position:absolute;left:1489;top:925;width:1735;height:2207;mso-wrap-style:none;v-text-anchor:middle">
                  <v:fill o:detectmouseclick="t" type="solid" color2="#990099"/>
                  <v:stroke color="#3465a4" joinstyle="round" endcap="flat"/>
                  <w10:wrap type="none"/>
                </v:shape>
              </v:group>
            </w:pict>
          </mc:Fallback>
        </mc:AlternateContent>
      </w:r>
    </w:p>
    <w:p>
      <w:pPr>
        <w:pStyle w:val="Normal"/>
        <w:rPr>
          <w:lang w:val="en-CA"/>
        </w:rPr>
      </w:pPr>
      <w:r>
        <w:rPr>
          <w:lang w:val="en-CA"/>
        </w:rPr>
        <mc:AlternateContent>
          <mc:Choice Requires="wps">
            <w:drawing>
              <wp:anchor behindDoc="0" distT="0" distB="0" distL="114935" distR="114935" simplePos="0" locked="0" layoutInCell="1" allowOverlap="1" relativeHeight="16">
                <wp:simplePos x="0" y="0"/>
                <wp:positionH relativeFrom="column">
                  <wp:posOffset>4799965</wp:posOffset>
                </wp:positionH>
                <wp:positionV relativeFrom="paragraph">
                  <wp:posOffset>18415</wp:posOffset>
                </wp:positionV>
                <wp:extent cx="4692650" cy="5852795"/>
                <wp:effectExtent l="0" t="0" r="0" b="0"/>
                <wp:wrapNone/>
                <wp:docPr id="13" name=""/>
                <a:graphic xmlns:a="http://schemas.openxmlformats.org/drawingml/2006/main">
                  <a:graphicData uri="http://schemas.microsoft.com/office/word/2010/wordprocessingShape">
                    <wps:wsp>
                      <wps:cNvSpPr txBox="1"/>
                      <wps:spPr>
                        <a:xfrm rot="10800000">
                          <a:off x="0" y="0"/>
                          <a:ext cx="4692600" cy="5852880"/>
                        </a:xfrm>
                        <a:prstGeom prst="rect">
                          <a:avLst/>
                        </a:prstGeom>
                        <a:noFill/>
                        <a:ln w="0">
                          <a:noFill/>
                        </a:ln>
                      </wps:spPr>
                      <wps:txbx>
                        <w:txbxContent>
                          <w:p>
                            <w:pPr>
                              <w:overflowPunct w:val="false"/>
                              <w:bidi w:val="0"/>
                              <w:rPr/>
                            </w:pPr>
                            <w:r>
                              <w:rPr>
                                <w:kern w:val="2"/>
                                <w:sz w:val="72"/>
                                <w:szCs w:val="20"/>
                                <w:rFonts w:ascii="Arial" w:hAnsi="Arial" w:eastAsia="Times New Roman" w:cs="Arial"/>
                                <w:color w:val="808080"/>
                                <w:lang w:val="en-GB"/>
                              </w:rPr>
                              <w:t>Inflation Model Review</w:t>
                            </w:r>
                          </w:p>
                        </w:txbxContent>
                      </wps:txbx>
                      <wps:bodyPr wrap="square" lIns="45720" rIns="45720" tIns="91440" bIns="91440" anchor="ctr">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377.95pt;margin-top:1.45pt;width:369.45pt;height:460.8pt;mso-wrap-style:none;v-text-anchor:middle;rotation:180" type="_x0000_t202">
                <v:textbox>
                  <w:txbxContent>
                    <w:p>
                      <w:pPr>
                        <w:overflowPunct w:val="false"/>
                        <w:bidi w:val="0"/>
                        <w:rPr/>
                      </w:pPr>
                      <w:r>
                        <w:rPr>
                          <w:kern w:val="2"/>
                          <w:sz w:val="72"/>
                          <w:szCs w:val="20"/>
                          <w:rFonts w:ascii="Arial" w:hAnsi="Arial" w:eastAsia="Times New Roman" w:cs="Arial"/>
                          <w:color w:val="808080"/>
                          <w:lang w:val="en-GB"/>
                        </w:rPr>
                        <w:t>Inflation Model Review</w:t>
                      </w:r>
                    </w:p>
                  </w:txbxContent>
                </v:textbox>
                <v:fill o:detectmouseclick="t" on="false"/>
                <v:stroke color="#3465a4" joinstyle="round" endcap="flat"/>
                <w10:wrap type="none"/>
              </v:shape>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sz w:val="28"/>
        </w:rPr>
      </w:pPr>
      <w:r>
        <w:rPr>
          <w:b/>
          <w:sz w:val="28"/>
        </w:rPr>
        <w:t>Market Risk RAC – London</w:t>
      </w:r>
    </w:p>
    <w:p>
      <w:pPr>
        <w:pStyle w:val="Heading6"/>
        <w:ind w:start="0" w:end="0"/>
        <w:rPr>
          <w:u w:val="none"/>
        </w:rPr>
      </w:pPr>
      <w:r>
        <w:rPr>
          <w:u w:val="none"/>
        </w:rPr>
        <w:t>October 2000</w:t>
      </w:r>
    </w:p>
    <w:p>
      <w:pPr>
        <w:pStyle w:val="Normal"/>
        <w:rPr>
          <w:u w:val="none"/>
        </w:rPr>
      </w:pPr>
      <w:r>
        <w:rPr>
          <w:u w:val="none"/>
        </w:rPr>
      </w:r>
    </w:p>
    <w:p>
      <w:pPr>
        <w:pStyle w:val="Normal"/>
        <w:rPr/>
      </w:pPr>
      <w:r>
        <w:rPr/>
      </w:r>
    </w:p>
    <w:p>
      <w:pPr>
        <w:pStyle w:val="Normal"/>
        <w:rPr>
          <w:lang w:val="en-CA"/>
        </w:rPr>
      </w:pPr>
      <w:r>
        <w:rPr>
          <w:lang w:val="en-CA"/>
        </w:rPr>
        <mc:AlternateContent>
          <mc:Choice Requires="wps">
            <w:drawing>
              <wp:anchor behindDoc="0" distT="0" distB="0" distL="114935" distR="114935" simplePos="0" locked="0" layoutInCell="1" allowOverlap="1" relativeHeight="14">
                <wp:simplePos x="0" y="0"/>
                <wp:positionH relativeFrom="column">
                  <wp:posOffset>3219450</wp:posOffset>
                </wp:positionH>
                <wp:positionV relativeFrom="paragraph">
                  <wp:posOffset>610235</wp:posOffset>
                </wp:positionV>
                <wp:extent cx="1270" cy="1270"/>
                <wp:effectExtent l="3810" t="3810" r="3810" b="3810"/>
                <wp:wrapNone/>
                <wp:docPr id="14" name=""/>
                <a:graphic xmlns:a="http://schemas.openxmlformats.org/drawingml/2006/main">
                  <a:graphicData uri="http://schemas.microsoft.com/office/word/2010/wordprocessingShape">
                    <wps:wsp>
                      <wps:cNvCnPr/>
                      <wps:spPr>
                        <a:xfrm>
                          <a:off x="0" y="0"/>
                          <a:ext cx="1440" cy="1800"/>
                        </a:xfrm>
                        <a:prstGeom prst="straightConnector1">
                          <a:avLst/>
                        </a:prstGeom>
                        <a:ln w="9360">
                          <a:solidFill>
                            <a:srgbClr val="000000"/>
                          </a:solidFill>
                          <a:miter/>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f" style="position:absolute;margin-left:253.5pt;margin-top:48.05pt;width:0.05pt;height:0.1pt" type="_x0000_t32">
                <v:stroke color="black" weight="9360" joinstyle="miter" endcap="flat"/>
                <v:fill o:detectmouseclick="t" on="false"/>
                <w10:wrap type="none"/>
              </v:shape>
            </w:pict>
          </mc:Fallback>
        </mc:AlternateContent>
      </w:r>
    </w:p>
    <w:p>
      <w:pPr>
        <w:sectPr>
          <w:type w:val="nextPage"/>
          <w:pgSz w:w="11906" w:h="16838"/>
          <w:pgMar w:left="1800" w:right="1800" w:gutter="0" w:header="0" w:top="1440" w:footer="0" w:bottom="1440"/>
          <w:pgNumType w:fmt="decimal"/>
          <w:formProt w:val="false"/>
          <w:textDirection w:val="lrTb"/>
          <w:docGrid w:type="default" w:linePitch="360" w:charSpace="0"/>
        </w:sectPr>
        <w:pStyle w:val="Normal"/>
        <w:rPr/>
      </w:pPr>
      <w:r>
        <w:rPr/>
      </w:r>
    </w:p>
    <w:p>
      <w:pPr>
        <w:pStyle w:val="Heading1"/>
        <w:ind w:hanging="0" w:start="0"/>
        <w:rPr>
          <w:u w:val="single"/>
        </w:rPr>
      </w:pPr>
      <w:r>
        <w:rPr>
          <w:u w:val="single"/>
        </w:rPr>
        <w:t>Executive Summary</w:t>
      </w:r>
    </w:p>
    <w:p>
      <w:pPr>
        <w:pStyle w:val="Heading4"/>
        <w:ind w:hanging="0" w:start="0"/>
        <w:rPr>
          <w:sz w:val="20"/>
          <w:u w:val="single"/>
        </w:rPr>
      </w:pPr>
      <w:r>
        <w:rPr>
          <w:sz w:val="20"/>
          <w:u w:val="single"/>
        </w:rPr>
      </w:r>
    </w:p>
    <w:p>
      <w:pPr>
        <w:pStyle w:val="Normal"/>
        <w:rPr>
          <w:sz w:val="20"/>
        </w:rPr>
      </w:pPr>
      <w:r>
        <w:rPr>
          <w:sz w:val="20"/>
        </w:rPr>
      </w:r>
    </w:p>
    <w:p>
      <w:pPr>
        <w:pStyle w:val="Heading4"/>
        <w:ind w:hanging="0" w:start="0"/>
        <w:rPr>
          <w:sz w:val="24"/>
        </w:rPr>
      </w:pPr>
      <w:r>
        <w:rPr>
          <w:sz w:val="24"/>
        </w:rPr>
        <w:t>1- Brief Background</w:t>
      </w:r>
    </w:p>
    <w:p>
      <w:pPr>
        <w:pStyle w:val="Normal"/>
        <w:rPr>
          <w:sz w:val="24"/>
        </w:rPr>
      </w:pPr>
      <w:r>
        <w:rPr>
          <w:sz w:val="24"/>
        </w:rPr>
      </w:r>
    </w:p>
    <w:p>
      <w:pPr>
        <w:pStyle w:val="Normal"/>
        <w:jc w:val="both"/>
        <w:rPr/>
      </w:pPr>
      <w:r>
        <w:rPr/>
        <w:t>Enron’s is currently long inflation, mainly exposed to PPI,  the maximum maturity is less than ten years. The inflation market is small and not liquid. The Research Group developed a new Inflation model, which went live in March 2000. Insufficient information was provided to support the model adequacy and efficiency.</w:t>
      </w:r>
    </w:p>
    <w:p>
      <w:pPr>
        <w:pStyle w:val="Normal"/>
        <w:rPr/>
      </w:pPr>
      <w:r>
        <w:rPr/>
      </w:r>
    </w:p>
    <w:p>
      <w:pPr>
        <w:pStyle w:val="Normal"/>
        <w:rPr/>
      </w:pPr>
      <w:r>
        <w:rPr/>
      </w:r>
    </w:p>
    <w:p>
      <w:pPr>
        <w:pStyle w:val="Heading4"/>
        <w:ind w:hanging="0" w:start="0"/>
        <w:rPr>
          <w:sz w:val="24"/>
        </w:rPr>
      </w:pPr>
      <w:r>
        <w:rPr>
          <w:sz w:val="24"/>
        </w:rPr>
        <w:t>2- Objective of Review</w:t>
      </w:r>
    </w:p>
    <w:p>
      <w:pPr>
        <w:pStyle w:val="Normal"/>
        <w:jc w:val="both"/>
        <w:rPr>
          <w:sz w:val="24"/>
        </w:rPr>
      </w:pPr>
      <w:r>
        <w:rPr>
          <w:sz w:val="24"/>
        </w:rPr>
      </w:r>
    </w:p>
    <w:p>
      <w:pPr>
        <w:pStyle w:val="Normal"/>
        <w:jc w:val="both"/>
        <w:rPr/>
      </w:pPr>
      <w:r>
        <w:rPr/>
        <w:t>The difficulty of forecasting is understood. Therefore the main concerns of the review are:</w:t>
      </w:r>
    </w:p>
    <w:p>
      <w:pPr>
        <w:pStyle w:val="Normal"/>
        <w:numPr>
          <w:ilvl w:val="0"/>
          <w:numId w:val="21"/>
        </w:numPr>
        <w:tabs>
          <w:tab w:val="left" w:pos="720" w:leader="none"/>
        </w:tabs>
        <w:ind w:hanging="360" w:start="720" w:end="0"/>
        <w:jc w:val="both"/>
        <w:rPr/>
      </w:pPr>
      <w:r>
        <w:rPr/>
        <w:t>Investigate the soundness of the construction process of the Inflation Model;</w:t>
      </w:r>
    </w:p>
    <w:p>
      <w:pPr>
        <w:pStyle w:val="Normal"/>
        <w:numPr>
          <w:ilvl w:val="0"/>
          <w:numId w:val="11"/>
        </w:numPr>
        <w:tabs>
          <w:tab w:val="left" w:pos="720" w:leader="none"/>
        </w:tabs>
        <w:ind w:hanging="360" w:start="720" w:end="0"/>
        <w:jc w:val="both"/>
        <w:rPr/>
      </w:pPr>
      <w:r>
        <w:rPr/>
        <w:t>Investigate room for improvement of the model’s forecast ability.</w:t>
      </w:r>
    </w:p>
    <w:p>
      <w:pPr>
        <w:pStyle w:val="Normal"/>
        <w:jc w:val="both"/>
        <w:rPr/>
      </w:pPr>
      <w:r>
        <w:rPr/>
      </w:r>
    </w:p>
    <w:p>
      <w:pPr>
        <w:pStyle w:val="Normal"/>
        <w:jc w:val="both"/>
        <w:rPr/>
      </w:pPr>
      <w:r>
        <w:rPr/>
      </w:r>
    </w:p>
    <w:p>
      <w:pPr>
        <w:pStyle w:val="Normal"/>
        <w:jc w:val="both"/>
        <w:rPr>
          <w:sz w:val="24"/>
        </w:rPr>
      </w:pPr>
      <w:r>
        <w:rPr>
          <w:b/>
          <w:sz w:val="24"/>
          <w:u w:val="single"/>
        </w:rPr>
        <w:t>3- Summary of Main Findings</w:t>
      </w:r>
    </w:p>
    <w:p>
      <w:pPr>
        <w:pStyle w:val="Normal"/>
        <w:jc w:val="both"/>
        <w:rPr>
          <w:sz w:val="24"/>
        </w:rPr>
      </w:pPr>
      <w:r>
        <w:rPr>
          <w:sz w:val="24"/>
        </w:rPr>
      </w:r>
    </w:p>
    <w:p>
      <w:pPr>
        <w:pStyle w:val="Normal"/>
        <w:ind w:start="360" w:end="0"/>
        <w:jc w:val="both"/>
        <w:rPr>
          <w:b/>
          <w:u w:val="single"/>
        </w:rPr>
      </w:pPr>
      <w:r>
        <w:rPr>
          <w:b/>
          <w:u w:val="single"/>
        </w:rPr>
        <w:t>All models:</w:t>
      </w:r>
    </w:p>
    <w:p>
      <w:pPr>
        <w:pStyle w:val="Normal"/>
        <w:numPr>
          <w:ilvl w:val="0"/>
          <w:numId w:val="12"/>
        </w:numPr>
        <w:tabs>
          <w:tab w:val="left" w:pos="720" w:leader="none"/>
        </w:tabs>
        <w:ind w:hanging="360" w:start="720" w:end="0"/>
        <w:jc w:val="both"/>
        <w:rPr/>
      </w:pPr>
      <w:r>
        <w:rPr/>
        <w:t>Insufficient documentation was provided supporting the model (assumptions, source of input data, description of algorithm, alternative methodologies, backtesting, etc).</w:t>
      </w:r>
    </w:p>
    <w:p>
      <w:pPr>
        <w:pStyle w:val="Normal"/>
        <w:ind w:firstLine="360" w:end="0"/>
        <w:jc w:val="both"/>
        <w:rPr/>
      </w:pPr>
      <w:r>
        <w:rPr/>
      </w:r>
    </w:p>
    <w:p>
      <w:pPr>
        <w:pStyle w:val="Normal"/>
        <w:ind w:firstLine="360" w:end="0"/>
        <w:jc w:val="both"/>
        <w:rPr>
          <w:b/>
          <w:u w:val="single"/>
        </w:rPr>
      </w:pPr>
      <w:r>
        <w:rPr>
          <w:b/>
          <w:u w:val="single"/>
        </w:rPr>
        <w:t>RPI model:</w:t>
      </w:r>
    </w:p>
    <w:p>
      <w:pPr>
        <w:pStyle w:val="Normal"/>
        <w:numPr>
          <w:ilvl w:val="0"/>
          <w:numId w:val="5"/>
        </w:numPr>
        <w:tabs>
          <w:tab w:val="left" w:pos="720" w:leader="none"/>
        </w:tabs>
        <w:ind w:hanging="360" w:start="720" w:end="0"/>
        <w:jc w:val="both"/>
        <w:rPr/>
      </w:pPr>
      <w:r>
        <w:rPr/>
        <w:t xml:space="preserve">The model assumes RPI swaps are a representation of the market expectations. This is not sufficiently supported by the RPI swap’s liquidity.  </w:t>
      </w:r>
    </w:p>
    <w:p>
      <w:pPr>
        <w:pStyle w:val="Normal"/>
        <w:numPr>
          <w:ilvl w:val="0"/>
          <w:numId w:val="5"/>
        </w:numPr>
        <w:tabs>
          <w:tab w:val="left" w:pos="720" w:leader="none"/>
        </w:tabs>
        <w:ind w:hanging="360" w:start="720" w:end="0"/>
        <w:jc w:val="both"/>
        <w:rPr/>
      </w:pPr>
      <w:r>
        <w:rPr/>
        <w:t>The near-end of the RPI curve (less than two years) is purely a consequence of the curve parameter estimation algorithm. Therefore a low forecast performance is expected. This has been confirmed by an out-of-the-sample backtesting: Short-term RPI forecast is expected to underestimate actual RPI (-10.08%), the deviation volatility is 27.16%.  The maximum historical deviation was –44.36%.</w:t>
      </w:r>
    </w:p>
    <w:p>
      <w:pPr>
        <w:pStyle w:val="Normal"/>
        <w:numPr>
          <w:ilvl w:val="0"/>
          <w:numId w:val="5"/>
        </w:numPr>
        <w:tabs>
          <w:tab w:val="left" w:pos="720" w:leader="none"/>
        </w:tabs>
        <w:ind w:hanging="360" w:start="720" w:end="0"/>
        <w:jc w:val="both"/>
        <w:rPr/>
      </w:pPr>
      <w:r>
        <w:rPr/>
        <w:t>The RPI curve is a significant variable in the forecast equations for PPI indexes. An error in the RPI curve is propagated throughout the other models.</w:t>
      </w:r>
    </w:p>
    <w:p>
      <w:pPr>
        <w:pStyle w:val="Normal"/>
        <w:numPr>
          <w:ilvl w:val="0"/>
          <w:numId w:val="5"/>
        </w:numPr>
        <w:tabs>
          <w:tab w:val="left" w:pos="720" w:leader="none"/>
        </w:tabs>
        <w:ind w:hanging="360" w:start="720" w:end="0"/>
        <w:jc w:val="both"/>
        <w:rPr/>
      </w:pPr>
      <w:r>
        <w:rPr/>
        <w:t>A combination of the GILTS and RPI swap markets information could improve the model.</w:t>
      </w:r>
    </w:p>
    <w:p>
      <w:pPr>
        <w:pStyle w:val="Normal"/>
        <w:ind w:start="360" w:end="0"/>
        <w:jc w:val="both"/>
        <w:rPr/>
      </w:pPr>
      <w:r>
        <w:rPr/>
      </w:r>
    </w:p>
    <w:p>
      <w:pPr>
        <w:pStyle w:val="Heading6"/>
        <w:rPr/>
      </w:pPr>
      <w:r>
        <w:rPr/>
        <w:t>PLLU and DZCV Short-Term</w:t>
      </w:r>
    </w:p>
    <w:p>
      <w:pPr>
        <w:pStyle w:val="Normal"/>
        <w:numPr>
          <w:ilvl w:val="0"/>
          <w:numId w:val="23"/>
        </w:numPr>
        <w:tabs>
          <w:tab w:val="left" w:pos="720" w:leader="none"/>
        </w:tabs>
        <w:ind w:hanging="360" w:start="720" w:end="0"/>
        <w:jc w:val="both"/>
        <w:rPr/>
      </w:pPr>
      <w:r>
        <w:rPr/>
        <w:t>The error metric is a summation of squared residuals. It does not capture the fact that the magnitude of a 1% absolute deviation from a 7% index is different from the magnitude of a 1% absolute deviation from a 2% index. This issue could be addressed by allowing the error metric to be the summation of the squared relative deviations. This is an issue across all Enron’s econometric models.</w:t>
      </w:r>
    </w:p>
    <w:p>
      <w:pPr>
        <w:pStyle w:val="Normal"/>
        <w:numPr>
          <w:ilvl w:val="0"/>
          <w:numId w:val="23"/>
        </w:numPr>
        <w:tabs>
          <w:tab w:val="left" w:pos="720" w:leader="none"/>
        </w:tabs>
        <w:ind w:hanging="360" w:start="720" w:end="0"/>
        <w:jc w:val="both"/>
        <w:rPr/>
      </w:pPr>
      <w:r>
        <w:rPr/>
        <w:t xml:space="preserve">The model provides an equation that explains the past. The forecast ability could be improved if forecast errors were considered as an input to the calibration procedure (in-the-sample calibration versus in-the-sample and out-of-the-sample calibration). The implementation of this suggestion requires additional statistical and programming resources. </w:t>
      </w:r>
    </w:p>
    <w:p>
      <w:pPr>
        <w:pStyle w:val="Normal"/>
        <w:numPr>
          <w:ilvl w:val="0"/>
          <w:numId w:val="23"/>
        </w:numPr>
        <w:tabs>
          <w:tab w:val="left" w:pos="720" w:leader="none"/>
        </w:tabs>
        <w:ind w:hanging="360" w:start="720" w:end="0"/>
        <w:jc w:val="both"/>
        <w:rPr/>
      </w:pPr>
      <w:r>
        <w:rPr/>
        <w:t>According to the out-of-the-sample backtesting, PLLU forecast is expected to underestimate actual PLLU (-14.15%), the deviation volatility is 18.26%.  The maximum historical deviation was –37.11%.</w:t>
      </w:r>
    </w:p>
    <w:p>
      <w:pPr>
        <w:pStyle w:val="Normal"/>
        <w:ind w:start="360" w:end="0"/>
        <w:jc w:val="both"/>
        <w:rPr/>
      </w:pPr>
      <w:r>
        <w:rPr/>
      </w:r>
    </w:p>
    <w:p>
      <w:pPr>
        <w:pStyle w:val="Heading7"/>
        <w:rPr/>
      </w:pPr>
      <w:r>
        <w:rPr/>
        <w:t>PLLU and DZCV Medium-Term</w:t>
      </w:r>
    </w:p>
    <w:p>
      <w:pPr>
        <w:pStyle w:val="Normal"/>
        <w:numPr>
          <w:ilvl w:val="0"/>
          <w:numId w:val="6"/>
        </w:numPr>
        <w:tabs>
          <w:tab w:val="left" w:pos="720" w:leader="none"/>
        </w:tabs>
        <w:ind w:hanging="360" w:start="720" w:end="0"/>
        <w:jc w:val="both"/>
        <w:rPr/>
      </w:pPr>
      <w:r>
        <w:rPr/>
        <w:t xml:space="preserve">No documentation has been provided supporting the choice of the exponential weights for the PLLU and DZCV curves. </w:t>
      </w:r>
    </w:p>
    <w:p>
      <w:pPr>
        <w:pStyle w:val="Normal"/>
        <w:numPr>
          <w:ilvl w:val="0"/>
          <w:numId w:val="6"/>
        </w:numPr>
        <w:tabs>
          <w:tab w:val="left" w:pos="720" w:leader="none"/>
        </w:tabs>
        <w:ind w:hanging="360" w:start="720" w:end="0"/>
        <w:jc w:val="both"/>
        <w:rPr/>
      </w:pPr>
      <w:r>
        <w:rPr/>
        <w:t>A smooth medium-term curve will be generated even in cases the short-term forecast significantly opposes the direction and magnitude of the long-term forecast.</w:t>
      </w:r>
    </w:p>
    <w:p>
      <w:pPr>
        <w:pStyle w:val="Normal"/>
        <w:jc w:val="both"/>
        <w:rPr/>
      </w:pPr>
      <w:r>
        <w:rPr/>
      </w:r>
    </w:p>
    <w:p>
      <w:pPr>
        <w:pStyle w:val="Heading7"/>
        <w:rPr/>
      </w:pPr>
      <w:r>
        <w:rPr/>
        <w:t>PLLU and DZCV Long-Term</w:t>
      </w:r>
    </w:p>
    <w:p>
      <w:pPr>
        <w:pStyle w:val="Normal"/>
        <w:numPr>
          <w:ilvl w:val="0"/>
          <w:numId w:val="10"/>
        </w:numPr>
        <w:tabs>
          <w:tab w:val="left" w:pos="720" w:leader="none"/>
        </w:tabs>
        <w:ind w:hanging="360" w:start="720" w:end="0"/>
        <w:jc w:val="both"/>
        <w:rPr/>
      </w:pPr>
      <w:r>
        <w:rPr/>
        <w:t>The model could be improved if it were stated as an auto-regressive model. The analysis of the graphic of historical errors shows a strong memory process.</w:t>
      </w:r>
    </w:p>
    <w:p>
      <w:pPr>
        <w:pStyle w:val="Normal"/>
        <w:numPr>
          <w:ilvl w:val="0"/>
          <w:numId w:val="10"/>
        </w:numPr>
        <w:tabs>
          <w:tab w:val="left" w:pos="720" w:leader="none"/>
        </w:tabs>
        <w:ind w:hanging="360" w:start="720" w:end="0"/>
        <w:jc w:val="both"/>
        <w:rPr/>
      </w:pPr>
      <w:r>
        <w:rPr/>
        <w:t>The equilibrium price for crude at $18.8 is a strong assumption. It appears the proposed equilibrium pattern is no longer valid given recent price fluctuations.</w:t>
      </w:r>
    </w:p>
    <w:p>
      <w:pPr>
        <w:pStyle w:val="Normal"/>
        <w:numPr>
          <w:ilvl w:val="0"/>
          <w:numId w:val="10"/>
        </w:numPr>
        <w:tabs>
          <w:tab w:val="left" w:pos="720" w:leader="none"/>
        </w:tabs>
        <w:ind w:hanging="360" w:start="720" w:end="0"/>
        <w:jc w:val="both"/>
        <w:rPr/>
      </w:pPr>
      <w:r>
        <w:rPr/>
        <w:t>The forecast ability is low. The average relative deviation is 48.68% and its volatility 135%.</w:t>
      </w:r>
    </w:p>
    <w:p>
      <w:pPr>
        <w:pStyle w:val="Heading4"/>
        <w:ind w:hanging="0" w:start="0"/>
        <w:rPr>
          <w:b w:val="false"/>
          <w:sz w:val="20"/>
          <w:u w:val="none"/>
        </w:rPr>
      </w:pPr>
      <w:r>
        <w:rPr>
          <w:b w:val="false"/>
          <w:sz w:val="20"/>
          <w:u w:val="none"/>
        </w:rPr>
      </w:r>
    </w:p>
    <w:p>
      <w:pPr>
        <w:pStyle w:val="Heading4"/>
        <w:ind w:hanging="0" w:start="0"/>
        <w:rPr>
          <w:b w:val="false"/>
          <w:sz w:val="20"/>
          <w:u w:val="none"/>
        </w:rPr>
      </w:pPr>
      <w:r>
        <w:rPr>
          <w:b w:val="false"/>
          <w:sz w:val="20"/>
          <w:u w:val="none"/>
        </w:rPr>
      </w:r>
    </w:p>
    <w:p>
      <w:pPr>
        <w:pStyle w:val="Heading4"/>
        <w:ind w:hanging="0" w:start="0"/>
        <w:rPr>
          <w:sz w:val="24"/>
        </w:rPr>
      </w:pPr>
      <w:r>
        <w:rPr>
          <w:sz w:val="24"/>
        </w:rPr>
        <w:t>4- Recommendations</w:t>
      </w:r>
    </w:p>
    <w:p>
      <w:pPr>
        <w:pStyle w:val="Normal"/>
        <w:jc w:val="both"/>
        <w:rPr>
          <w:sz w:val="24"/>
        </w:rPr>
      </w:pPr>
      <w:r>
        <w:rPr>
          <w:sz w:val="24"/>
        </w:rPr>
      </w:r>
    </w:p>
    <w:p>
      <w:pPr>
        <w:pStyle w:val="Heading5"/>
        <w:ind w:hanging="0" w:start="0"/>
        <w:rPr/>
      </w:pPr>
      <w:r>
        <w:rPr/>
        <w:t>4.1- Research</w:t>
      </w:r>
    </w:p>
    <w:p>
      <w:pPr>
        <w:pStyle w:val="BodyText2"/>
        <w:rPr/>
      </w:pPr>
      <w:r>
        <w:rPr/>
        <w:t>Further research towards a sounder and more efficient model is necessary. The main reasons underpinning this recommendation are:</w:t>
      </w:r>
    </w:p>
    <w:p>
      <w:pPr>
        <w:pStyle w:val="Normal"/>
        <w:numPr>
          <w:ilvl w:val="0"/>
          <w:numId w:val="14"/>
        </w:numPr>
        <w:tabs>
          <w:tab w:val="clear" w:pos="720"/>
          <w:tab w:val="left" w:pos="1080" w:leader="none"/>
        </w:tabs>
        <w:ind w:hanging="360" w:start="1080" w:end="0"/>
        <w:jc w:val="both"/>
        <w:rPr/>
      </w:pPr>
      <w:r>
        <w:rPr/>
        <w:t>Given the provided documentation, it is not clear the proposed methodology is a fruit of an extensive research investigating the efficiency of different alternatives. It appears there is substantial room for improvements.</w:t>
      </w:r>
    </w:p>
    <w:p>
      <w:pPr>
        <w:pStyle w:val="Normal"/>
        <w:numPr>
          <w:ilvl w:val="0"/>
          <w:numId w:val="14"/>
        </w:numPr>
        <w:tabs>
          <w:tab w:val="clear" w:pos="720"/>
          <w:tab w:val="left" w:pos="1080" w:leader="none"/>
        </w:tabs>
        <w:ind w:hanging="360" w:start="1080" w:end="0"/>
        <w:jc w:val="both"/>
        <w:rPr/>
      </w:pPr>
      <w:r>
        <w:rPr/>
        <w:t>Out-of-the-sample backtesting suggests the forecast ability of the model is low.</w:t>
      </w:r>
    </w:p>
    <w:p>
      <w:pPr>
        <w:pStyle w:val="Normal"/>
        <w:ind w:start="720" w:end="0"/>
        <w:jc w:val="both"/>
        <w:rPr/>
      </w:pPr>
      <w:r>
        <w:rPr/>
      </w:r>
    </w:p>
    <w:p>
      <w:pPr>
        <w:pStyle w:val="Normal"/>
        <w:jc w:val="both"/>
        <w:rPr/>
      </w:pPr>
      <w:r>
        <w:rPr/>
        <w:t>Suggested directions of investigation are:</w:t>
      </w:r>
    </w:p>
    <w:p>
      <w:pPr>
        <w:pStyle w:val="Normal"/>
        <w:numPr>
          <w:ilvl w:val="0"/>
          <w:numId w:val="22"/>
        </w:numPr>
        <w:tabs>
          <w:tab w:val="clear" w:pos="720"/>
          <w:tab w:val="left" w:pos="1080" w:leader="none"/>
        </w:tabs>
        <w:ind w:hanging="360" w:start="1080" w:end="0"/>
        <w:jc w:val="both"/>
        <w:rPr/>
      </w:pPr>
      <w:r>
        <w:rPr/>
        <w:t>Forecast inflation for a number of expiry dates, followed by interpolation;</w:t>
      </w:r>
    </w:p>
    <w:p>
      <w:pPr>
        <w:pStyle w:val="Normal"/>
        <w:numPr>
          <w:ilvl w:val="0"/>
          <w:numId w:val="22"/>
        </w:numPr>
        <w:tabs>
          <w:tab w:val="clear" w:pos="720"/>
          <w:tab w:val="left" w:pos="1080" w:leader="none"/>
        </w:tabs>
        <w:ind w:hanging="360" w:start="1080" w:end="0"/>
        <w:jc w:val="both"/>
        <w:rPr/>
      </w:pPr>
      <w:r>
        <w:rPr/>
        <w:t>Benefit from expert knowledge by consulting the Bank of England and Forecast Companies.</w:t>
      </w:r>
    </w:p>
    <w:p>
      <w:pPr>
        <w:pStyle w:val="Normal"/>
        <w:jc w:val="both"/>
        <w:rPr/>
      </w:pPr>
      <w:r>
        <w:rPr/>
        <w:t xml:space="preserve"> </w:t>
      </w:r>
    </w:p>
    <w:p>
      <w:pPr>
        <w:pStyle w:val="BodyText2"/>
        <w:rPr/>
      </w:pPr>
      <w:r>
        <w:rPr/>
        <w:t>It is important to note that additional human resources with advanced econometric modelling skills are required given the current workload of the European research team.</w:t>
      </w:r>
    </w:p>
    <w:p>
      <w:pPr>
        <w:pStyle w:val="Normal"/>
        <w:jc w:val="both"/>
        <w:rPr/>
      </w:pPr>
      <w:r>
        <w:rPr/>
      </w:r>
    </w:p>
    <w:p>
      <w:pPr>
        <w:pStyle w:val="Normal"/>
        <w:jc w:val="both"/>
        <w:rPr/>
      </w:pPr>
      <w:r>
        <w:rPr/>
      </w:r>
    </w:p>
    <w:p>
      <w:pPr>
        <w:pStyle w:val="Heading5"/>
        <w:ind w:hanging="0" w:start="0"/>
        <w:rPr/>
      </w:pPr>
      <w:r>
        <w:rPr/>
        <w:t xml:space="preserve">4.2 - Inflation Mark-to-Market </w:t>
      </w:r>
    </w:p>
    <w:p>
      <w:pPr>
        <w:pStyle w:val="Heading5"/>
        <w:ind w:hanging="0" w:start="0"/>
        <w:rPr>
          <w:b w:val="false"/>
          <w:u w:val="none"/>
        </w:rPr>
      </w:pPr>
      <w:r>
        <w:rPr>
          <w:b w:val="false"/>
          <w:u w:val="none"/>
        </w:rPr>
        <w:t>Given the above recommendation for further research to be performed on the inflation curve it is considered unwise to continue marking the inflation exposures to live curves i.e. updating inputs and applying new output curves. The inflation current curves should be frozen until this further research has resulted in a more satisfactory curve model or inflation curves.</w:t>
      </w:r>
    </w:p>
    <w:p>
      <w:pPr>
        <w:pStyle w:val="Normal"/>
        <w:rPr>
          <w:b/>
          <w:u w:val="none"/>
        </w:rPr>
      </w:pPr>
      <w:r>
        <w:rPr>
          <w:b/>
          <w:u w:val="none"/>
        </w:rPr>
      </w:r>
    </w:p>
    <w:p>
      <w:pPr>
        <w:pStyle w:val="Heading5"/>
        <w:ind w:hanging="0" w:start="0"/>
        <w:rPr/>
      </w:pPr>
      <w:r>
        <w:rPr/>
        <w:t>4.3 - Inflation Hedging</w:t>
      </w:r>
    </w:p>
    <w:p>
      <w:pPr>
        <w:pStyle w:val="Normal"/>
        <w:tabs>
          <w:tab w:val="left" w:pos="720" w:leader="none"/>
        </w:tabs>
        <w:jc w:val="both"/>
        <w:rPr/>
      </w:pPr>
      <w:r>
        <w:rPr/>
        <w:t>Reinforcing the current strategy, RAC does not recommend hedging  PPI PLLU and DZCV exposures with RPI swaps given a substantial basis risk. The appropriate manner to hedge PPI risk is to include inflation-linked exposures in new deals that will offset the current inflation volumes per time bucket.</w:t>
      </w:r>
    </w:p>
    <w:p>
      <w:pPr>
        <w:pStyle w:val="Normal"/>
        <w:jc w:val="both"/>
        <w:rPr/>
      </w:pPr>
      <w:r>
        <w:rPr/>
      </w:r>
    </w:p>
    <w:p>
      <w:pPr>
        <w:pStyle w:val="Normal"/>
        <w:jc w:val="both"/>
        <w:rPr/>
      </w:pPr>
      <w:r>
        <w:rPr/>
      </w:r>
    </w:p>
    <w:p>
      <w:pPr>
        <w:pStyle w:val="Heading5"/>
        <w:ind w:hanging="0" w:start="0"/>
        <w:rPr/>
      </w:pPr>
      <w:r>
        <w:rPr/>
        <w:t>4.4 - Inflation Trading</w:t>
      </w:r>
    </w:p>
    <w:p>
      <w:pPr>
        <w:pStyle w:val="Normal"/>
        <w:jc w:val="both"/>
        <w:rPr/>
      </w:pPr>
      <w:r>
        <w:rPr/>
        <w:t>The forecast ability of the current curves does not recommend its application as a reference for trading.</w:t>
      </w:r>
    </w:p>
    <w:p>
      <w:pPr>
        <w:pStyle w:val="Normal"/>
        <w:jc w:val="both"/>
        <w:rPr/>
      </w:pPr>
      <w:r>
        <w:rPr/>
      </w:r>
    </w:p>
    <w:p>
      <w:pPr>
        <w:pStyle w:val="Normal"/>
        <w:jc w:val="both"/>
        <w:rPr/>
      </w:pPr>
      <w:r>
        <w:rPr/>
      </w:r>
    </w:p>
    <w:p>
      <w:pPr>
        <w:pStyle w:val="Heading5"/>
        <w:ind w:hanging="0" w:start="0"/>
        <w:rPr>
          <w:sz w:val="24"/>
        </w:rPr>
      </w:pPr>
      <w:r>
        <w:rPr>
          <w:sz w:val="24"/>
        </w:rPr>
        <w:t>5- Structure of Document</w:t>
      </w:r>
    </w:p>
    <w:p>
      <w:pPr>
        <w:pStyle w:val="Normal"/>
        <w:rPr>
          <w:sz w:val="24"/>
        </w:rPr>
      </w:pPr>
      <w:r>
        <w:rPr>
          <w:sz w:val="24"/>
        </w:rPr>
      </w:r>
    </w:p>
    <w:p>
      <w:pPr>
        <w:pStyle w:val="Heading5"/>
        <w:ind w:hanging="0" w:start="0"/>
        <w:rPr>
          <w:b w:val="false"/>
          <w:u w:val="none"/>
        </w:rPr>
      </w:pPr>
      <w:r>
        <w:rPr>
          <w:b w:val="false"/>
          <w:u w:val="none"/>
        </w:rPr>
        <w:t>1- Background</w:t>
      </w:r>
    </w:p>
    <w:p>
      <w:pPr>
        <w:pStyle w:val="Normal"/>
        <w:numPr>
          <w:ilvl w:val="0"/>
          <w:numId w:val="24"/>
        </w:numPr>
        <w:tabs>
          <w:tab w:val="left" w:pos="720" w:leader="none"/>
        </w:tabs>
        <w:ind w:hanging="360" w:start="720" w:end="0"/>
        <w:rPr/>
      </w:pPr>
      <w:r>
        <w:rPr/>
        <w:t>Inflation Book</w:t>
      </w:r>
    </w:p>
    <w:p>
      <w:pPr>
        <w:pStyle w:val="Normal"/>
        <w:numPr>
          <w:ilvl w:val="0"/>
          <w:numId w:val="24"/>
        </w:numPr>
        <w:tabs>
          <w:tab w:val="left" w:pos="720" w:leader="none"/>
        </w:tabs>
        <w:ind w:hanging="360" w:start="720" w:end="0"/>
        <w:rPr/>
      </w:pPr>
      <w:r>
        <w:rPr/>
        <w:t>Inflation Market</w:t>
      </w:r>
    </w:p>
    <w:p>
      <w:pPr>
        <w:pStyle w:val="Normal"/>
        <w:numPr>
          <w:ilvl w:val="0"/>
          <w:numId w:val="24"/>
        </w:numPr>
        <w:tabs>
          <w:tab w:val="left" w:pos="720" w:leader="none"/>
        </w:tabs>
        <w:ind w:hanging="360" w:start="720" w:end="0"/>
        <w:rPr/>
      </w:pPr>
      <w:r>
        <w:rPr/>
        <w:t>Inflation Model</w:t>
      </w:r>
    </w:p>
    <w:p>
      <w:pPr>
        <w:pStyle w:val="Normal"/>
        <w:ind w:start="360" w:end="0"/>
        <w:rPr/>
      </w:pPr>
      <w:r>
        <w:rPr/>
      </w:r>
    </w:p>
    <w:p>
      <w:pPr>
        <w:pStyle w:val="Normal"/>
        <w:rPr/>
      </w:pPr>
      <w:r>
        <w:rPr/>
        <w:t>2- Model Development Review</w:t>
      </w:r>
    </w:p>
    <w:p>
      <w:pPr>
        <w:pStyle w:val="Normal"/>
        <w:numPr>
          <w:ilvl w:val="0"/>
          <w:numId w:val="7"/>
        </w:numPr>
        <w:tabs>
          <w:tab w:val="left" w:pos="720" w:leader="none"/>
        </w:tabs>
        <w:ind w:hanging="360" w:start="720" w:end="0"/>
        <w:rPr/>
      </w:pPr>
      <w:r>
        <w:rPr/>
        <w:t>Input Data Validation</w:t>
      </w:r>
    </w:p>
    <w:p>
      <w:pPr>
        <w:pStyle w:val="Normal"/>
        <w:numPr>
          <w:ilvl w:val="0"/>
          <w:numId w:val="7"/>
        </w:numPr>
        <w:tabs>
          <w:tab w:val="left" w:pos="720" w:leader="none"/>
        </w:tabs>
        <w:ind w:hanging="360" w:start="720" w:end="0"/>
        <w:rPr/>
      </w:pPr>
      <w:r>
        <w:rPr/>
        <w:t>Methodology and Criticisms</w:t>
      </w:r>
    </w:p>
    <w:p>
      <w:pPr>
        <w:pStyle w:val="Normal"/>
        <w:numPr>
          <w:ilvl w:val="0"/>
          <w:numId w:val="7"/>
        </w:numPr>
        <w:tabs>
          <w:tab w:val="clear" w:pos="720"/>
          <w:tab w:val="left" w:pos="1080" w:leader="none"/>
        </w:tabs>
        <w:ind w:hanging="360" w:start="1080" w:end="0"/>
        <w:rPr/>
      </w:pPr>
      <w:r>
        <w:rPr/>
        <w:t>RPI</w:t>
      </w:r>
    </w:p>
    <w:p>
      <w:pPr>
        <w:pStyle w:val="Normal"/>
        <w:numPr>
          <w:ilvl w:val="0"/>
          <w:numId w:val="7"/>
        </w:numPr>
        <w:tabs>
          <w:tab w:val="clear" w:pos="720"/>
          <w:tab w:val="left" w:pos="1080" w:leader="none"/>
        </w:tabs>
        <w:ind w:hanging="360" w:start="1080" w:end="0"/>
        <w:rPr/>
      </w:pPr>
      <w:r>
        <w:rPr/>
        <w:t>Short-term PLLU, DZCV</w:t>
      </w:r>
    </w:p>
    <w:p>
      <w:pPr>
        <w:pStyle w:val="Normal"/>
        <w:numPr>
          <w:ilvl w:val="0"/>
          <w:numId w:val="7"/>
        </w:numPr>
        <w:tabs>
          <w:tab w:val="clear" w:pos="720"/>
          <w:tab w:val="left" w:pos="1080" w:leader="none"/>
        </w:tabs>
        <w:ind w:hanging="360" w:start="1080" w:end="0"/>
        <w:rPr/>
      </w:pPr>
      <w:r>
        <w:rPr/>
        <w:t>Medium-term PLLU, DZCV</w:t>
      </w:r>
    </w:p>
    <w:p>
      <w:pPr>
        <w:pStyle w:val="Normal"/>
        <w:numPr>
          <w:ilvl w:val="0"/>
          <w:numId w:val="7"/>
        </w:numPr>
        <w:tabs>
          <w:tab w:val="clear" w:pos="720"/>
          <w:tab w:val="left" w:pos="1080" w:leader="none"/>
        </w:tabs>
        <w:ind w:hanging="360" w:start="1080" w:end="0"/>
        <w:rPr/>
      </w:pPr>
      <w:r>
        <w:rPr/>
        <w:t>Long-term PLLU, DZCV</w:t>
      </w:r>
    </w:p>
    <w:p>
      <w:pPr>
        <w:pStyle w:val="Normal"/>
        <w:rPr/>
      </w:pPr>
      <w:r>
        <w:rPr/>
      </w:r>
    </w:p>
    <w:p>
      <w:pPr>
        <w:pStyle w:val="Normal"/>
        <w:rPr/>
      </w:pPr>
      <w:r>
        <w:rPr/>
        <w:t>3- Review of Live Model</w:t>
      </w:r>
    </w:p>
    <w:p>
      <w:pPr>
        <w:pStyle w:val="Normal"/>
        <w:numPr>
          <w:ilvl w:val="0"/>
          <w:numId w:val="4"/>
        </w:numPr>
        <w:tabs>
          <w:tab w:val="left" w:pos="720" w:leader="none"/>
        </w:tabs>
        <w:ind w:hanging="360" w:start="720" w:end="0"/>
        <w:rPr/>
      </w:pPr>
      <w:r>
        <w:rPr/>
        <w:t>Live Input Data Validation</w:t>
      </w:r>
    </w:p>
    <w:p>
      <w:pPr>
        <w:pStyle w:val="Normal"/>
        <w:numPr>
          <w:ilvl w:val="0"/>
          <w:numId w:val="4"/>
        </w:numPr>
        <w:tabs>
          <w:tab w:val="left" w:pos="720" w:leader="none"/>
        </w:tabs>
        <w:ind w:hanging="360" w:start="720" w:end="0"/>
        <w:rPr/>
      </w:pPr>
      <w:r>
        <w:rPr/>
        <w:t>Out of the sample Backtesting</w:t>
      </w:r>
    </w:p>
    <w:p>
      <w:pPr>
        <w:pStyle w:val="Heading5"/>
        <w:ind w:hanging="0" w:start="0"/>
        <w:rPr>
          <w:sz w:val="24"/>
        </w:rPr>
      </w:pPr>
      <w:r>
        <w:rPr>
          <w:sz w:val="24"/>
        </w:rPr>
        <w:t xml:space="preserve"> </w:t>
      </w:r>
      <w:r>
        <w:br w:type="page"/>
      </w:r>
    </w:p>
    <w:p>
      <w:pPr>
        <w:pStyle w:val="Heading5"/>
        <w:ind w:hanging="0" w:start="0"/>
        <w:rPr>
          <w:sz w:val="28"/>
        </w:rPr>
      </w:pPr>
      <w:r>
        <w:rPr>
          <w:sz w:val="28"/>
        </w:rPr>
        <w:t>1- Background</w:t>
      </w:r>
    </w:p>
    <w:p>
      <w:pPr>
        <w:pStyle w:val="Normal"/>
        <w:jc w:val="both"/>
        <w:rPr>
          <w:sz w:val="28"/>
        </w:rPr>
      </w:pPr>
      <w:r>
        <w:rPr>
          <w:sz w:val="28"/>
        </w:rPr>
      </w:r>
    </w:p>
    <w:p>
      <w:pPr>
        <w:pStyle w:val="Normal"/>
        <w:jc w:val="both"/>
        <w:rPr/>
      </w:pPr>
      <w:r>
        <w:rPr/>
      </w:r>
    </w:p>
    <w:p>
      <w:pPr>
        <w:pStyle w:val="Heading5"/>
        <w:ind w:hanging="0" w:start="0"/>
        <w:rPr>
          <w:sz w:val="24"/>
        </w:rPr>
      </w:pPr>
      <w:r>
        <w:rPr>
          <w:sz w:val="24"/>
        </w:rPr>
        <w:t>1.1- Inflation Book</w:t>
      </w:r>
    </w:p>
    <w:p>
      <w:pPr>
        <w:pStyle w:val="Normal"/>
        <w:jc w:val="both"/>
        <w:rPr/>
      </w:pPr>
      <w:r>
        <w:rPr/>
        <w:t>Enron’s Inflation Book includes the exposure due to contract prices linked to inflation indexes (RPI: Retail Price, PLLU: Producer Price, DZCV: Producer Price excluding energy). The Inflation Book does not consider exposure due to operation and running costs (salaries, rents, etc).</w:t>
      </w:r>
    </w:p>
    <w:p>
      <w:pPr>
        <w:pStyle w:val="Normal"/>
        <w:jc w:val="both"/>
        <w:rPr/>
      </w:pPr>
      <w:r>
        <w:rPr/>
      </w:r>
    </w:p>
    <w:p>
      <w:pPr>
        <w:pStyle w:val="Normal"/>
        <w:jc w:val="both"/>
        <w:rPr/>
      </w:pPr>
      <w:r>
        <w:rPr/>
        <w:t>The Inflation Book belongs to Enron Europe, but Enron Global Markets is responsible for running it. Enron is currently long inflation and the maximum maturity of the exposure does not exceed ten years. The exposure is mainly linked to the Producer Price Indexes.</w:t>
      </w:r>
    </w:p>
    <w:p>
      <w:pPr>
        <w:pStyle w:val="Normal"/>
        <w:jc w:val="both"/>
        <w:rPr/>
      </w:pPr>
      <w:r>
        <w:rPr/>
      </w:r>
    </w:p>
    <w:p>
      <w:pPr>
        <w:pStyle w:val="Normal"/>
        <w:jc w:val="both"/>
        <w:rPr/>
      </w:pPr>
      <w:r>
        <w:rPr/>
        <w:t xml:space="preserve">The Financial Trading Group generates the inflation curves on a monthly basis. The curves are available in a spreadsheet; a security password for read only access is required. Origination deals are considered on a case-by-case basis. The released curve reflects the most up-to-date market and bid-offer spread. </w:t>
      </w:r>
    </w:p>
    <w:p>
      <w:pPr>
        <w:pStyle w:val="Normal"/>
        <w:jc w:val="both"/>
        <w:rPr/>
      </w:pPr>
      <w:r>
        <w:rPr/>
      </w:r>
    </w:p>
    <w:p>
      <w:pPr>
        <w:pStyle w:val="Normal"/>
        <w:jc w:val="both"/>
        <w:rPr/>
      </w:pPr>
      <w:r>
        <w:rPr/>
        <w:t>Risk Management updates Enron’s exposure, calculates P&amp;L impact due to inflation, and conducts scenario analysis.</w:t>
      </w:r>
    </w:p>
    <w:p>
      <w:pPr>
        <w:pStyle w:val="Normal"/>
        <w:jc w:val="both"/>
        <w:rPr/>
      </w:pPr>
      <w:r>
        <w:rPr/>
      </w:r>
    </w:p>
    <w:p>
      <w:pPr>
        <w:pStyle w:val="Heading3"/>
        <w:ind w:hanging="0" w:start="0"/>
        <w:rPr>
          <w:u w:val="single"/>
        </w:rPr>
      </w:pPr>
      <w:r>
        <w:rPr>
          <w:u w:val="single"/>
        </w:rPr>
        <w:t>1.2- Inflation Market</w:t>
      </w:r>
    </w:p>
    <w:p>
      <w:pPr>
        <w:pStyle w:val="Normal"/>
        <w:jc w:val="both"/>
        <w:rPr/>
      </w:pPr>
      <w:r>
        <w:rPr/>
        <w:t xml:space="preserve">The UK Inflation Market is small, particularly if compared to the public, corporate and private exposure to the inflation indexes. Most of the deals are embedded in contracts terms and conditions. </w:t>
      </w:r>
    </w:p>
    <w:p>
      <w:pPr>
        <w:pStyle w:val="Normal"/>
        <w:jc w:val="both"/>
        <w:rPr/>
      </w:pPr>
      <w:r>
        <w:rPr/>
      </w:r>
    </w:p>
    <w:p>
      <w:pPr>
        <w:pStyle w:val="Normal"/>
        <w:jc w:val="both"/>
        <w:rPr/>
      </w:pPr>
      <w:r>
        <w:rPr/>
        <w:t>RPI swaps (3-5 years old market) is one of the few standard instruments (Inflation-linked Gilts are also available). Little transparency is available as it is traded over the counter (OTC). RPI Swaps do not necessarily represent the market expectation as it is not sufficiently liquid (GBP 1 BI annual volume, 200 deals per year).</w:t>
      </w:r>
    </w:p>
    <w:p>
      <w:pPr>
        <w:pStyle w:val="Normal"/>
        <w:jc w:val="both"/>
        <w:rPr/>
      </w:pPr>
      <w:r>
        <w:rPr/>
      </w:r>
    </w:p>
    <w:p>
      <w:pPr>
        <w:pStyle w:val="Heading5"/>
        <w:ind w:hanging="0" w:start="0"/>
        <w:rPr>
          <w:b w:val="false"/>
          <w:u w:val="none"/>
        </w:rPr>
      </w:pPr>
      <w:r>
        <w:rPr>
          <w:b w:val="false"/>
          <w:u w:val="none"/>
        </w:rPr>
        <w:t>No standard PPI instrument is available in the market.</w:t>
      </w:r>
    </w:p>
    <w:p>
      <w:pPr>
        <w:pStyle w:val="Heading5"/>
        <w:ind w:hanging="0" w:start="0"/>
        <w:rPr/>
      </w:pPr>
      <w:r>
        <w:rPr/>
      </w:r>
    </w:p>
    <w:p>
      <w:pPr>
        <w:pStyle w:val="Normal"/>
        <w:rPr/>
      </w:pPr>
      <w:r>
        <w:rPr/>
      </w:r>
    </w:p>
    <w:p>
      <w:pPr>
        <w:pStyle w:val="Heading5"/>
        <w:ind w:hanging="0" w:start="0"/>
        <w:rPr/>
      </w:pPr>
      <w:r>
        <w:rPr/>
        <w:t>1.3- Inflation Model</w:t>
      </w:r>
    </w:p>
    <w:p>
      <w:pPr>
        <w:pStyle w:val="Normal"/>
        <w:jc w:val="both"/>
        <w:rPr/>
      </w:pPr>
      <w:r>
        <w:rPr/>
        <w:t>A new Inflation model went live in March 2000. The new model was developed by the Research Group and aimed to replace the previous model, which had been negatively criticised.</w:t>
      </w:r>
    </w:p>
    <w:p>
      <w:pPr>
        <w:pStyle w:val="Normal"/>
        <w:jc w:val="both"/>
        <w:rPr/>
      </w:pPr>
      <w:r>
        <w:rPr/>
        <w:t xml:space="preserve"> </w:t>
      </w:r>
    </w:p>
    <w:p>
      <w:pPr>
        <w:pStyle w:val="Normal"/>
        <w:jc w:val="both"/>
        <w:rPr/>
      </w:pPr>
      <w:r>
        <w:rPr/>
        <w:t xml:space="preserve">At the end of July 2000 RAC asked the Research Group to provide a report supporting the soundness of the new model. The requested information was: </w:t>
      </w:r>
    </w:p>
    <w:p>
      <w:pPr>
        <w:pStyle w:val="Normal"/>
        <w:numPr>
          <w:ilvl w:val="0"/>
          <w:numId w:val="9"/>
        </w:numPr>
        <w:tabs>
          <w:tab w:val="left" w:pos="720" w:leader="none"/>
        </w:tabs>
        <w:ind w:hanging="360" w:start="720" w:end="0"/>
        <w:jc w:val="both"/>
        <w:rPr/>
      </w:pPr>
      <w:r>
        <w:rPr/>
        <w:t>Data Integrity Validation</w:t>
      </w:r>
    </w:p>
    <w:p>
      <w:pPr>
        <w:pStyle w:val="Normal"/>
        <w:numPr>
          <w:ilvl w:val="0"/>
          <w:numId w:val="9"/>
        </w:numPr>
        <w:tabs>
          <w:tab w:val="left" w:pos="720" w:leader="none"/>
        </w:tabs>
        <w:ind w:hanging="360" w:start="720" w:end="0"/>
        <w:jc w:val="both"/>
        <w:rPr/>
      </w:pPr>
      <w:r>
        <w:rPr/>
        <w:t>Model Calibration Adequacy</w:t>
      </w:r>
    </w:p>
    <w:p>
      <w:pPr>
        <w:pStyle w:val="Normal"/>
        <w:numPr>
          <w:ilvl w:val="0"/>
          <w:numId w:val="9"/>
        </w:numPr>
        <w:tabs>
          <w:tab w:val="left" w:pos="720" w:leader="none"/>
        </w:tabs>
        <w:ind w:hanging="360" w:start="720" w:end="0"/>
        <w:jc w:val="both"/>
        <w:rPr/>
      </w:pPr>
      <w:r>
        <w:rPr/>
        <w:t>Out-of-the-sample backtesting</w:t>
      </w:r>
    </w:p>
    <w:p>
      <w:pPr>
        <w:pStyle w:val="Normal"/>
        <w:numPr>
          <w:ilvl w:val="0"/>
          <w:numId w:val="9"/>
        </w:numPr>
        <w:tabs>
          <w:tab w:val="left" w:pos="720" w:leader="none"/>
        </w:tabs>
        <w:ind w:hanging="360" w:start="720" w:end="0"/>
        <w:jc w:val="both"/>
        <w:rPr/>
      </w:pPr>
      <w:r>
        <w:rPr/>
        <w:t>Sensitivity Analysis</w:t>
      </w:r>
    </w:p>
    <w:p>
      <w:pPr>
        <w:pStyle w:val="Normal"/>
        <w:jc w:val="both"/>
        <w:rPr/>
      </w:pPr>
      <w:r>
        <w:rPr/>
      </w:r>
    </w:p>
    <w:p>
      <w:pPr>
        <w:pStyle w:val="Normal"/>
        <w:jc w:val="both"/>
        <w:rPr/>
      </w:pPr>
      <w:r>
        <w:rPr/>
        <w:t xml:space="preserve">In August 2000 Arthur Andersen presented a draft of its review of the appropriateness of the inflation linked curve construction methodology adopted by Enron Europe. The main findings of the review are: </w:t>
      </w:r>
    </w:p>
    <w:p>
      <w:pPr>
        <w:pStyle w:val="Normal"/>
        <w:numPr>
          <w:ilvl w:val="0"/>
          <w:numId w:val="16"/>
        </w:numPr>
        <w:tabs>
          <w:tab w:val="left" w:pos="720" w:leader="none"/>
        </w:tabs>
        <w:ind w:hanging="360" w:start="720" w:end="0"/>
        <w:jc w:val="both"/>
        <w:rPr/>
      </w:pPr>
      <w:r>
        <w:rPr/>
        <w:t>Lack of appropriate control environment;</w:t>
      </w:r>
    </w:p>
    <w:p>
      <w:pPr>
        <w:pStyle w:val="Normal"/>
        <w:numPr>
          <w:ilvl w:val="0"/>
          <w:numId w:val="16"/>
        </w:numPr>
        <w:tabs>
          <w:tab w:val="left" w:pos="720" w:leader="none"/>
        </w:tabs>
        <w:ind w:hanging="360" w:start="720" w:end="0"/>
        <w:jc w:val="both"/>
        <w:rPr/>
      </w:pPr>
      <w:r>
        <w:rPr/>
        <w:t>No evidence of systematic model selection process;</w:t>
      </w:r>
    </w:p>
    <w:p>
      <w:pPr>
        <w:pStyle w:val="Normal"/>
        <w:numPr>
          <w:ilvl w:val="0"/>
          <w:numId w:val="16"/>
        </w:numPr>
        <w:tabs>
          <w:tab w:val="left" w:pos="720" w:leader="none"/>
        </w:tabs>
        <w:ind w:hanging="360" w:start="720" w:end="0"/>
        <w:jc w:val="both"/>
        <w:rPr/>
      </w:pPr>
      <w:r>
        <w:rPr/>
        <w:t>Appropriateness and accuracy of models have not been verified.</w:t>
      </w:r>
    </w:p>
    <w:p>
      <w:pPr>
        <w:pStyle w:val="Normal"/>
        <w:jc w:val="both"/>
        <w:rPr/>
      </w:pPr>
      <w:r>
        <w:rPr/>
      </w:r>
    </w:p>
    <w:p>
      <w:pPr>
        <w:pStyle w:val="Normal"/>
        <w:jc w:val="both"/>
        <w:rPr/>
      </w:pPr>
      <w:r>
        <w:rPr/>
        <w:t xml:space="preserve">As agreed in the meeting with Arthur Andersen, Research was responsible to provide further documentation of the model assumptions, methodology, and also validation of results. </w:t>
      </w:r>
    </w:p>
    <w:p>
      <w:pPr>
        <w:pStyle w:val="Heading3"/>
        <w:ind w:hanging="0" w:start="0"/>
        <w:rPr>
          <w:sz w:val="20"/>
        </w:rPr>
      </w:pPr>
      <w:r>
        <w:rPr>
          <w:b w:val="false"/>
          <w:sz w:val="20"/>
        </w:rPr>
        <w:t>Early September 2000, Research informed RAC that the information requested in July 2000 was not going to be fully provided. Up to the date of this review, no report has been sent to RAC.</w:t>
      </w:r>
    </w:p>
    <w:p>
      <w:pPr>
        <w:pStyle w:val="Heading3"/>
        <w:ind w:hanging="0" w:start="0"/>
        <w:rPr>
          <w:sz w:val="20"/>
        </w:rPr>
      </w:pPr>
      <w:r>
        <w:rPr>
          <w:sz w:val="20"/>
        </w:rPr>
      </w:r>
    </w:p>
    <w:p>
      <w:pPr>
        <w:pStyle w:val="Heading3"/>
        <w:ind w:hanging="0" w:start="0"/>
        <w:rPr>
          <w:sz w:val="20"/>
          <w:u w:val="single"/>
        </w:rPr>
      </w:pPr>
      <w:r>
        <w:rPr>
          <w:sz w:val="20"/>
          <w:u w:val="single"/>
        </w:rPr>
      </w:r>
    </w:p>
    <w:p>
      <w:pPr>
        <w:pStyle w:val="Normal"/>
        <w:jc w:val="both"/>
        <w:rPr>
          <w:sz w:val="20"/>
          <w:u w:val="single"/>
        </w:rPr>
      </w:pPr>
      <w:r>
        <w:rPr>
          <w:sz w:val="20"/>
          <w:u w:val="single"/>
        </w:rPr>
      </w:r>
    </w:p>
    <w:p>
      <w:pPr>
        <w:pStyle w:val="Normal"/>
        <w:jc w:val="both"/>
        <w:rPr/>
      </w:pPr>
      <w:r>
        <w:rPr/>
      </w:r>
      <w:r>
        <w:br w:type="page"/>
      </w:r>
    </w:p>
    <w:p>
      <w:pPr>
        <w:pStyle w:val="Normal"/>
        <w:jc w:val="both"/>
        <w:rPr>
          <w:b/>
          <w:sz w:val="28"/>
          <w:u w:val="single"/>
        </w:rPr>
      </w:pPr>
      <w:r>
        <w:rPr>
          <w:b/>
          <w:sz w:val="28"/>
          <w:u w:val="single"/>
        </w:rPr>
        <w:t>2- Model Development Review</w:t>
      </w:r>
    </w:p>
    <w:p>
      <w:pPr>
        <w:pStyle w:val="Normal"/>
        <w:jc w:val="both"/>
        <w:rPr>
          <w:b/>
          <w:sz w:val="28"/>
          <w:u w:val="single"/>
        </w:rPr>
      </w:pPr>
      <w:r>
        <w:rPr>
          <w:b/>
          <w:sz w:val="28"/>
          <w:u w:val="single"/>
        </w:rPr>
      </w:r>
    </w:p>
    <w:p>
      <w:pPr>
        <w:pStyle w:val="Heading1"/>
        <w:ind w:hanging="0" w:start="0"/>
        <w:rPr>
          <w:sz w:val="20"/>
        </w:rPr>
      </w:pPr>
      <w:r>
        <w:rPr>
          <w:sz w:val="20"/>
        </w:rPr>
      </w:r>
    </w:p>
    <w:p>
      <w:pPr>
        <w:pStyle w:val="Heading1"/>
        <w:ind w:hanging="0" w:start="0"/>
        <w:rPr>
          <w:sz w:val="24"/>
          <w:u w:val="single"/>
        </w:rPr>
      </w:pPr>
      <w:r>
        <w:rPr>
          <w:sz w:val="24"/>
          <w:u w:val="single"/>
        </w:rPr>
        <w:t>2.1- Input Data Validation</w:t>
      </w:r>
    </w:p>
    <w:p>
      <w:pPr>
        <w:pStyle w:val="Normal"/>
        <w:jc w:val="both"/>
        <w:rPr>
          <w:sz w:val="24"/>
          <w:u w:val="single"/>
        </w:rPr>
      </w:pPr>
      <w:r>
        <w:rPr>
          <w:sz w:val="24"/>
          <w:u w:val="single"/>
        </w:rPr>
      </w:r>
    </w:p>
    <w:p>
      <w:pPr>
        <w:pStyle w:val="Normal"/>
        <w:jc w:val="both"/>
        <w:rPr/>
      </w:pPr>
      <w:r>
        <w:rPr/>
        <w:t>The data input to the Inflation Model has been considered consistent as:</w:t>
      </w:r>
    </w:p>
    <w:p>
      <w:pPr>
        <w:pStyle w:val="Normal"/>
        <w:numPr>
          <w:ilvl w:val="0"/>
          <w:numId w:val="15"/>
        </w:numPr>
        <w:tabs>
          <w:tab w:val="left" w:pos="720" w:leader="none"/>
        </w:tabs>
        <w:ind w:hanging="360" w:start="720" w:end="0"/>
        <w:jc w:val="both"/>
        <w:rPr/>
      </w:pPr>
      <w:r>
        <w:rPr/>
        <w:t>RPI and PPI data inputs to the Inflation model are similar to RPI and PPI data provided by the ONS - Office for National Statistics.</w:t>
      </w:r>
    </w:p>
    <w:p>
      <w:pPr>
        <w:pStyle w:val="Normal"/>
        <w:numPr>
          <w:ilvl w:val="0"/>
          <w:numId w:val="15"/>
        </w:numPr>
        <w:tabs>
          <w:tab w:val="left" w:pos="720" w:leader="none"/>
        </w:tabs>
        <w:spacing w:lineRule="atLeast" w:line="240"/>
        <w:ind w:hanging="360" w:start="720" w:end="0"/>
        <w:jc w:val="both"/>
        <w:rPr/>
      </w:pPr>
      <w:r>
        <w:rPr/>
        <w:t>RPI and PPI have not been unavailable or have not been discontinued.</w:t>
      </w:r>
    </w:p>
    <w:p>
      <w:pPr>
        <w:pStyle w:val="Normal"/>
        <w:numPr>
          <w:ilvl w:val="0"/>
          <w:numId w:val="15"/>
        </w:numPr>
        <w:tabs>
          <w:tab w:val="left" w:pos="720" w:leader="none"/>
        </w:tabs>
        <w:ind w:hanging="360" w:start="720" w:end="0"/>
        <w:jc w:val="both"/>
        <w:rPr/>
      </w:pPr>
      <w:r>
        <w:rPr/>
        <w:t>The basis on which the PPI is calculated changed in June 1998 but this does not affect the Inflation time series in percentage terms.</w:t>
      </w:r>
    </w:p>
    <w:p>
      <w:pPr>
        <w:pStyle w:val="Normal"/>
        <w:numPr>
          <w:ilvl w:val="0"/>
          <w:numId w:val="15"/>
        </w:numPr>
        <w:tabs>
          <w:tab w:val="left" w:pos="720" w:leader="none"/>
        </w:tabs>
        <w:ind w:hanging="360" w:start="720" w:end="0"/>
        <w:jc w:val="both"/>
        <w:rPr/>
      </w:pPr>
      <w:r>
        <w:rPr/>
        <w:t xml:space="preserve">The impacts of RPI yearly re-weightings are not considerable. </w:t>
      </w:r>
    </w:p>
    <w:p>
      <w:pPr>
        <w:pStyle w:val="Heading2"/>
        <w:ind w:hanging="0" w:start="0"/>
        <w:rPr>
          <w:sz w:val="20"/>
        </w:rPr>
      </w:pPr>
      <w:r>
        <w:rPr>
          <w:sz w:val="20"/>
        </w:rPr>
      </w:r>
    </w:p>
    <w:p>
      <w:pPr>
        <w:pStyle w:val="Normal"/>
        <w:rPr>
          <w:sz w:val="20"/>
        </w:rPr>
      </w:pPr>
      <w:r>
        <w:rPr>
          <w:sz w:val="20"/>
        </w:rPr>
      </w:r>
    </w:p>
    <w:p>
      <w:pPr>
        <w:pStyle w:val="Heading2"/>
        <w:ind w:hanging="0" w:start="0"/>
        <w:rPr>
          <w:sz w:val="24"/>
        </w:rPr>
      </w:pPr>
      <w:r>
        <w:rPr>
          <w:sz w:val="24"/>
          <w:u w:val="single"/>
        </w:rPr>
        <w:t>2.2- Model Calibration Adequacy</w:t>
      </w:r>
    </w:p>
    <w:p>
      <w:pPr>
        <w:pStyle w:val="Normal"/>
        <w:jc w:val="both"/>
        <w:rPr>
          <w:sz w:val="24"/>
        </w:rPr>
      </w:pPr>
      <w:r>
        <w:rPr>
          <w:sz w:val="24"/>
        </w:rPr>
      </w:r>
    </w:p>
    <w:p>
      <w:pPr>
        <w:pStyle w:val="Normal"/>
        <w:jc w:val="both"/>
        <w:rPr/>
      </w:pPr>
      <w:r>
        <w:rPr/>
        <w:t>Next a brief description of the modelling approach and mains criticisms are presented for each curve.</w:t>
      </w:r>
    </w:p>
    <w:p>
      <w:pPr>
        <w:pStyle w:val="Normal"/>
        <w:jc w:val="both"/>
        <w:rPr/>
      </w:pPr>
      <w:r>
        <w:rPr/>
      </w:r>
    </w:p>
    <w:p>
      <w:pPr>
        <w:pStyle w:val="Normal"/>
        <w:jc w:val="both"/>
        <w:rPr>
          <w:b/>
          <w:u w:val="single"/>
        </w:rPr>
      </w:pPr>
      <w:r>
        <w:rPr>
          <w:b/>
          <w:u w:val="single"/>
        </w:rPr>
        <w:t>2.2.1– RPI Curve</w:t>
      </w:r>
    </w:p>
    <w:p>
      <w:pPr>
        <w:pStyle w:val="Normal"/>
        <w:jc w:val="both"/>
        <w:rPr>
          <w:b/>
          <w:u w:val="single"/>
        </w:rPr>
      </w:pPr>
      <w:r>
        <w:rPr>
          <w:b/>
          <w:u w:val="single"/>
        </w:rPr>
      </w:r>
    </w:p>
    <w:p>
      <w:pPr>
        <w:pStyle w:val="Heading3"/>
        <w:ind w:hanging="0" w:start="0"/>
        <w:rPr>
          <w:sz w:val="20"/>
          <w:u w:val="single"/>
        </w:rPr>
      </w:pPr>
      <w:r>
        <w:rPr>
          <w:sz w:val="20"/>
          <w:u w:val="single"/>
        </w:rPr>
        <w:t>2.2.1.1– Modelling Approach</w:t>
      </w:r>
    </w:p>
    <w:p>
      <w:pPr>
        <w:pStyle w:val="Normal"/>
        <w:jc w:val="both"/>
        <w:rPr>
          <w:sz w:val="20"/>
          <w:u w:val="single"/>
        </w:rPr>
      </w:pPr>
      <w:r>
        <w:rPr>
          <w:sz w:val="20"/>
          <w:u w:val="single"/>
        </w:rPr>
      </w:r>
    </w:p>
    <w:p>
      <w:pPr>
        <w:pStyle w:val="Normal"/>
        <w:jc w:val="both"/>
        <w:rPr/>
      </w:pPr>
      <w:r>
        <w:rPr/>
        <w:t>The objective is to provide one RPI curve representative of the market. The input is RPI swap rates quoted monthly for 5 different expiry dates (2, 5, 7, 10 and 20 years).  Forward rates are assumed to be constant between quoted rates. A smoother curve is obtained by a least squares procedure.</w:t>
      </w:r>
    </w:p>
    <w:p>
      <w:pPr>
        <w:pStyle w:val="Normal"/>
        <w:jc w:val="both"/>
        <w:rPr/>
      </w:pPr>
      <w:r>
        <w:rPr/>
      </w:r>
    </w:p>
    <w:p>
      <w:pPr>
        <w:pStyle w:val="Heading3"/>
        <w:ind w:hanging="0" w:start="0"/>
        <w:rPr>
          <w:sz w:val="20"/>
          <w:u w:val="single"/>
        </w:rPr>
      </w:pPr>
      <w:r>
        <w:rPr>
          <w:sz w:val="20"/>
          <w:u w:val="single"/>
        </w:rPr>
        <w:t>2.2.1.2– Criticisms</w:t>
      </w:r>
    </w:p>
    <w:p>
      <w:pPr>
        <w:pStyle w:val="Normal"/>
        <w:jc w:val="both"/>
        <w:rPr>
          <w:sz w:val="20"/>
          <w:u w:val="single"/>
        </w:rPr>
      </w:pPr>
      <w:r>
        <w:rPr>
          <w:sz w:val="20"/>
          <w:u w:val="single"/>
        </w:rPr>
      </w:r>
    </w:p>
    <w:p>
      <w:pPr>
        <w:pStyle w:val="Normal"/>
        <w:numPr>
          <w:ilvl w:val="0"/>
          <w:numId w:val="19"/>
        </w:numPr>
        <w:tabs>
          <w:tab w:val="left" w:pos="720" w:leader="none"/>
        </w:tabs>
        <w:ind w:hanging="360" w:start="720" w:end="0"/>
        <w:jc w:val="both"/>
        <w:rPr/>
      </w:pPr>
      <w:r>
        <w:rPr/>
        <w:t>The model assumes RPI swaps are a representation of the market expectations. This is not sufficiently supported by the RPI swap’s liquidity: GBP 1 BI annual volume; approximately 200 deals per year.</w:t>
      </w:r>
    </w:p>
    <w:p>
      <w:pPr>
        <w:pStyle w:val="Normal"/>
        <w:ind w:start="360" w:end="0"/>
        <w:jc w:val="both"/>
        <w:rPr/>
      </w:pPr>
      <w:r>
        <w:rPr/>
      </w:r>
    </w:p>
    <w:p>
      <w:pPr>
        <w:pStyle w:val="BodyText"/>
        <w:numPr>
          <w:ilvl w:val="0"/>
          <w:numId w:val="19"/>
        </w:numPr>
        <w:tabs>
          <w:tab w:val="left" w:pos="720" w:leader="none"/>
        </w:tabs>
        <w:ind w:hanging="360" w:start="720" w:end="0"/>
        <w:rPr>
          <w:sz w:val="20"/>
        </w:rPr>
      </w:pPr>
      <w:r>
        <w:rPr>
          <w:sz w:val="20"/>
        </w:rPr>
        <w:t xml:space="preserve">Over the counter market providing little transparency. </w:t>
      </w:r>
    </w:p>
    <w:p>
      <w:pPr>
        <w:pStyle w:val="BodyText"/>
        <w:ind w:start="360" w:end="0"/>
        <w:rPr>
          <w:sz w:val="20"/>
        </w:rPr>
      </w:pPr>
      <w:r>
        <w:rPr>
          <w:sz w:val="20"/>
        </w:rPr>
      </w:r>
    </w:p>
    <w:p>
      <w:pPr>
        <w:pStyle w:val="BodyText"/>
        <w:numPr>
          <w:ilvl w:val="0"/>
          <w:numId w:val="19"/>
        </w:numPr>
        <w:tabs>
          <w:tab w:val="left" w:pos="720" w:leader="none"/>
        </w:tabs>
        <w:ind w:hanging="360" w:start="720" w:end="0"/>
        <w:rPr>
          <w:sz w:val="20"/>
        </w:rPr>
      </w:pPr>
      <w:r>
        <w:rPr>
          <w:sz w:val="20"/>
        </w:rPr>
        <w:t>Indicative quotes does not necessarily represent trading quotes.</w:t>
      </w:r>
    </w:p>
    <w:p>
      <w:pPr>
        <w:pStyle w:val="Normal"/>
        <w:ind w:start="360" w:end="0"/>
        <w:jc w:val="both"/>
        <w:rPr>
          <w:sz w:val="20"/>
        </w:rPr>
      </w:pPr>
      <w:r>
        <w:rPr>
          <w:sz w:val="20"/>
        </w:rPr>
      </w:r>
    </w:p>
    <w:p>
      <w:pPr>
        <w:pStyle w:val="Normal"/>
        <w:numPr>
          <w:ilvl w:val="0"/>
          <w:numId w:val="19"/>
        </w:numPr>
        <w:tabs>
          <w:tab w:val="left" w:pos="720" w:leader="none"/>
        </w:tabs>
        <w:ind w:hanging="360" w:start="720" w:end="0"/>
        <w:jc w:val="both"/>
        <w:rPr/>
      </w:pPr>
      <w:r>
        <w:rPr/>
        <w:t>RPI swap premium is not only a function of expected RPI rates, but also of counter-party credit risk, brokerage margin.</w:t>
      </w:r>
    </w:p>
    <w:p>
      <w:pPr>
        <w:pStyle w:val="Normal"/>
        <w:ind w:start="360" w:end="0"/>
        <w:jc w:val="both"/>
        <w:rPr/>
      </w:pPr>
      <w:r>
        <w:rPr/>
      </w:r>
    </w:p>
    <w:p>
      <w:pPr>
        <w:pStyle w:val="Normal"/>
        <w:numPr>
          <w:ilvl w:val="0"/>
          <w:numId w:val="19"/>
        </w:numPr>
        <w:tabs>
          <w:tab w:val="left" w:pos="720" w:leader="none"/>
        </w:tabs>
        <w:ind w:hanging="360" w:start="720" w:end="0"/>
        <w:jc w:val="both"/>
        <w:rPr/>
      </w:pPr>
      <w:r>
        <w:rPr/>
        <w:t>The near-end of the RPI curve (less than two years) does not take into account any market information. It is purely a consequence of the curve parameter estimation algorithm. Enron’s current RPI exposure is concentrated in the first three years.</w:t>
      </w:r>
    </w:p>
    <w:p>
      <w:pPr>
        <w:pStyle w:val="Normal"/>
        <w:ind w:start="360" w:end="0"/>
        <w:jc w:val="both"/>
        <w:rPr/>
      </w:pPr>
      <w:r>
        <w:rPr/>
      </w:r>
    </w:p>
    <w:p>
      <w:pPr>
        <w:pStyle w:val="Normal"/>
        <w:numPr>
          <w:ilvl w:val="0"/>
          <w:numId w:val="19"/>
        </w:numPr>
        <w:tabs>
          <w:tab w:val="left" w:pos="720" w:leader="none"/>
        </w:tabs>
        <w:ind w:hanging="360" w:start="720" w:end="0"/>
        <w:jc w:val="both"/>
        <w:rPr/>
      </w:pPr>
      <w:r>
        <w:rPr/>
        <w:t>A criticism by Arthur Andersen remains to be investigated (Drat-Inflation Curve Validation, 14/08/00). It suggests the parameter estimation seems to be unstable as it produces significantly different outcomes depending on the starting point.</w:t>
      </w:r>
    </w:p>
    <w:p>
      <w:pPr>
        <w:pStyle w:val="Normal"/>
        <w:ind w:start="360" w:end="0"/>
        <w:jc w:val="both"/>
        <w:rPr/>
      </w:pPr>
      <w:r>
        <w:rPr/>
      </w:r>
    </w:p>
    <w:p>
      <w:pPr>
        <w:pStyle w:val="Normal"/>
        <w:numPr>
          <w:ilvl w:val="0"/>
          <w:numId w:val="19"/>
        </w:numPr>
        <w:tabs>
          <w:tab w:val="left" w:pos="720" w:leader="none"/>
        </w:tabs>
        <w:ind w:hanging="360" w:start="720" w:end="0"/>
        <w:jc w:val="both"/>
        <w:rPr/>
      </w:pPr>
      <w:r>
        <w:rPr/>
        <w:t>The RPI curve is a significant variable in the forecast equations for PPI indexes. An error in the RPI curve is propagated throughout the model.</w:t>
      </w:r>
    </w:p>
    <w:p>
      <w:pPr>
        <w:pStyle w:val="Normal"/>
        <w:ind w:start="360" w:end="0"/>
        <w:jc w:val="both"/>
        <w:rPr/>
      </w:pPr>
      <w:r>
        <w:rPr/>
      </w:r>
    </w:p>
    <w:p>
      <w:pPr>
        <w:pStyle w:val="Normal"/>
        <w:numPr>
          <w:ilvl w:val="0"/>
          <w:numId w:val="19"/>
        </w:numPr>
        <w:tabs>
          <w:tab w:val="left" w:pos="720" w:leader="none"/>
        </w:tabs>
        <w:ind w:hanging="360" w:start="720" w:end="0"/>
        <w:jc w:val="both"/>
        <w:rPr/>
      </w:pPr>
      <w:r>
        <w:rPr/>
        <w:t>No documentation was provided supporting the model (assumptions, source of input data, description of algorithm, alternative methodologies, validation, etc).</w:t>
      </w:r>
      <w:r>
        <w:br w:type="page"/>
      </w:r>
    </w:p>
    <w:p>
      <w:pPr>
        <w:pStyle w:val="Heading3"/>
        <w:ind w:hanging="0" w:start="0"/>
        <w:rPr>
          <w:sz w:val="20"/>
          <w:u w:val="single"/>
        </w:rPr>
      </w:pPr>
      <w:r>
        <w:rPr>
          <w:sz w:val="20"/>
          <w:u w:val="single"/>
        </w:rPr>
        <w:t>2.2.2- Short Term PLLU and DZCV</w:t>
      </w:r>
    </w:p>
    <w:p>
      <w:pPr>
        <w:pStyle w:val="Normal"/>
        <w:rPr>
          <w:sz w:val="20"/>
          <w:u w:val="single"/>
        </w:rPr>
      </w:pPr>
      <w:r>
        <w:rPr>
          <w:sz w:val="20"/>
          <w:u w:val="single"/>
        </w:rPr>
      </w:r>
    </w:p>
    <w:p>
      <w:pPr>
        <w:pStyle w:val="Heading3"/>
        <w:ind w:hanging="0" w:start="0"/>
        <w:rPr>
          <w:sz w:val="20"/>
          <w:u w:val="single"/>
        </w:rPr>
      </w:pPr>
      <w:r>
        <w:rPr>
          <w:sz w:val="20"/>
          <w:u w:val="single"/>
        </w:rPr>
        <w:t>2.2.2.1- Modelling Approach</w:t>
      </w:r>
    </w:p>
    <w:p>
      <w:pPr>
        <w:pStyle w:val="Normal"/>
        <w:jc w:val="both"/>
        <w:rPr>
          <w:sz w:val="20"/>
          <w:u w:val="single"/>
        </w:rPr>
      </w:pPr>
      <w:r>
        <w:rPr>
          <w:sz w:val="20"/>
          <w:u w:val="single"/>
        </w:rPr>
      </w:r>
    </w:p>
    <w:p>
      <w:pPr>
        <w:pStyle w:val="Normal"/>
        <w:jc w:val="both"/>
        <w:rPr/>
      </w:pPr>
      <w:r>
        <w:rPr/>
        <w:t>A broadly applied statistics technique to fit a curve is to minimise the sum of squared residuals (difference between forecast and actual). For each point in the time series, one calculates the squared deviation. The best fitness is obtained by finding the model equation coefficients, which minimise the summation of the squared deviations. The sum of squared residuals is a parameter the modeller analyses when comparing alternative model equations.</w:t>
      </w:r>
    </w:p>
    <w:p>
      <w:pPr>
        <w:pStyle w:val="Normal"/>
        <w:jc w:val="both"/>
        <w:rPr/>
      </w:pPr>
      <w:r>
        <w:rPr/>
      </w:r>
    </w:p>
    <w:p>
      <w:pPr>
        <w:pStyle w:val="Normal"/>
        <w:jc w:val="both"/>
        <w:rPr/>
      </w:pPr>
      <w:r>
        <w:rPr/>
        <w:t>The forecast equation for short-term PLLU is:</w:t>
      </w:r>
    </w:p>
    <w:p>
      <w:pPr>
        <w:pStyle w:val="Normal"/>
        <w:jc w:val="both"/>
        <w:rPr/>
      </w:pPr>
      <w:r>
        <w:rPr/>
      </w:r>
      <m:oMath xmlns:m="http://schemas.openxmlformats.org/officeDocument/2006/math">
        <m:sSub>
          <m:e>
            <m:r>
              <m:rPr>
                <m:lit/>
                <m:nor/>
              </m:rPr>
              <m:t xml:space="preserve">PLLU</m:t>
            </m:r>
          </m:e>
          <m:sub>
            <m:r>
              <m:t xml:space="preserve">t</m:t>
            </m:r>
          </m:sub>
        </m:sSub>
        <m:r>
          <m:t xml:space="preserve">=</m:t>
        </m:r>
        <m:r>
          <m:t xml:space="preserve">a</m:t>
        </m:r>
        <m:r>
          <m:t xml:space="preserve">×</m:t>
        </m:r>
        <m:sSub>
          <m:e>
            <m:r>
              <m:rPr>
                <m:lit/>
                <m:nor/>
              </m:rPr>
              <m:t xml:space="preserve">RPI</m:t>
            </m:r>
          </m:e>
          <m:sub>
            <m:r>
              <m:t xml:space="preserve">t</m:t>
            </m:r>
          </m:sub>
        </m:sSub>
        <m:r>
          <m:t xml:space="preserve">+</m:t>
        </m:r>
        <m:r>
          <m:t xml:space="preserve">b</m:t>
        </m:r>
        <m:r>
          <m:t xml:space="preserve">×</m:t>
        </m:r>
        <m:sSub>
          <m:e>
            <m:r>
              <m:rPr>
                <m:lit/>
                <m:nor/>
              </m:rPr>
              <m:t xml:space="preserve">PLLU</m:t>
            </m:r>
          </m:e>
          <m:sub>
            <m:r>
              <m:t xml:space="preserve">t</m:t>
            </m:r>
            <m:r>
              <m:t xml:space="preserve">−</m:t>
            </m:r>
            <m:r>
              <m:t xml:space="preserve">1</m:t>
            </m:r>
          </m:sub>
        </m:sSub>
        <m:r>
          <m:t xml:space="preserve">+</m:t>
        </m:r>
        <m:r>
          <m:t xml:space="preserve">c</m:t>
        </m:r>
        <m:r>
          <m:t xml:space="preserve">×</m:t>
        </m:r>
        <m:d>
          <m:dPr>
            <m:begChr m:val="("/>
            <m:endChr m:val=")"/>
          </m:dPr>
          <m:e>
            <m:sSub>
              <m:e>
                <m:r>
                  <m:rPr>
                    <m:lit/>
                    <m:nor/>
                  </m:rPr>
                  <m:t xml:space="preserve">PLLU</m:t>
                </m:r>
              </m:e>
              <m:sub>
                <m:r>
                  <m:t xml:space="preserve">t</m:t>
                </m:r>
                <m:r>
                  <m:t xml:space="preserve">−</m:t>
                </m:r>
                <m:r>
                  <m:t xml:space="preserve">1</m:t>
                </m:r>
              </m:sub>
            </m:sSub>
            <m:r>
              <m:t xml:space="preserve">−</m:t>
            </m:r>
            <m:sSub>
              <m:e>
                <m:r>
                  <m:rPr>
                    <m:lit/>
                    <m:nor/>
                  </m:rPr>
                  <m:t xml:space="preserve">PLLU</m:t>
                </m:r>
              </m:e>
              <m:sub>
                <m:r>
                  <m:t xml:space="preserve">t</m:t>
                </m:r>
                <m:r>
                  <m:t xml:space="preserve">−</m:t>
                </m:r>
                <m:r>
                  <m:t xml:space="preserve">4</m:t>
                </m:r>
              </m:sub>
            </m:sSub>
          </m:e>
        </m:d>
        <m:r>
          <m:t xml:space="preserve">+</m:t>
        </m:r>
        <m:r>
          <m:t xml:space="preserve">d</m:t>
        </m:r>
        <m:r>
          <m:t xml:space="preserve">×</m:t>
        </m:r>
        <m:r>
          <m:rPr>
            <m:lit/>
            <m:nor/>
          </m:rPr>
          <m:t xml:space="preserve">Pr</m:t>
        </m:r>
        <m:r>
          <m:rPr>
            <m:lit/>
            <m:nor/>
          </m:rPr>
          <m:t xml:space="preserve">eviousError</m:t>
        </m:r>
        <m:r>
          <m:t xml:space="preserve">+</m:t>
        </m:r>
        <m:r>
          <m:rPr>
            <m:lit/>
            <m:nor/>
          </m:rPr>
          <m:t xml:space="preserve">cons</m:t>
        </m:r>
        <m:r>
          <m:rPr>
            <m:lit/>
            <m:nor/>
          </m:rPr>
          <m:t xml:space="preserve">tan</m:t>
        </m:r>
        <m:r>
          <m:t xml:space="preserve">t</m:t>
        </m:r>
      </m:oMath>
      <w:r>
        <w:rPr/>
        <w:t xml:space="preserve">Where: </w:t>
      </w:r>
      <w:r>
        <w:rPr/>
      </w:r>
      <m:oMath xmlns:m="http://schemas.openxmlformats.org/officeDocument/2006/math">
        <m:r>
          <m:t xml:space="preserve">a</m:t>
        </m:r>
        <m:r>
          <m:t xml:space="preserve">=</m:t>
        </m:r>
        <m:r>
          <m:t xml:space="preserve">0</m:t>
        </m:r>
        <m:r>
          <m:rPr>
            <m:lit/>
            <m:nor/>
          </m:rPr>
          <m:t xml:space="preserve">.</m:t>
        </m:r>
        <m:r>
          <m:rPr>
            <m:lit/>
            <m:nor/>
          </m:rPr>
          <m:t xml:space="preserve">031051</m:t>
        </m:r>
        <m:r>
          <m:t xml:space="preserve">,</m:t>
        </m:r>
        <m:r>
          <m:t xml:space="preserve">b</m:t>
        </m:r>
        <m:r>
          <m:t xml:space="preserve">=</m:t>
        </m:r>
        <m:r>
          <m:t xml:space="preserve">0</m:t>
        </m:r>
        <m:r>
          <m:rPr>
            <m:lit/>
            <m:nor/>
          </m:rPr>
          <m:t xml:space="preserve">.</m:t>
        </m:r>
        <m:r>
          <m:rPr>
            <m:lit/>
            <m:nor/>
          </m:rPr>
          <m:t xml:space="preserve">944435</m:t>
        </m:r>
        <m:r>
          <m:t xml:space="preserve">,</m:t>
        </m:r>
        <m:r>
          <m:t xml:space="preserve">c</m:t>
        </m:r>
        <m:r>
          <m:t xml:space="preserve">=</m:t>
        </m:r>
        <m:r>
          <m:t xml:space="preserve">0</m:t>
        </m:r>
        <m:r>
          <m:rPr>
            <m:lit/>
            <m:nor/>
          </m:rPr>
          <m:t xml:space="preserve">.</m:t>
        </m:r>
        <m:r>
          <m:rPr>
            <m:lit/>
            <m:nor/>
          </m:rPr>
          <m:t xml:space="preserve">100439</m:t>
        </m:r>
        <m:r>
          <m:t xml:space="preserve">,</m:t>
        </m:r>
        <m:r>
          <m:t xml:space="preserve">d</m:t>
        </m:r>
        <m:r>
          <m:t xml:space="preserve">=</m:t>
        </m:r>
        <m:r>
          <m:t xml:space="preserve">0</m:t>
        </m:r>
        <m:r>
          <m:rPr>
            <m:lit/>
            <m:nor/>
          </m:rPr>
          <m:t xml:space="preserve">.</m:t>
        </m:r>
        <m:r>
          <m:rPr>
            <m:lit/>
            <m:nor/>
          </m:rPr>
          <m:t xml:space="preserve">065804</m:t>
        </m:r>
        <m:r>
          <m:t xml:space="preserve">,</m:t>
        </m:r>
        <m:r>
          <m:rPr>
            <m:lit/>
            <m:nor/>
          </m:rPr>
          <m:t xml:space="preserve">cons</m:t>
        </m:r>
        <m:r>
          <m:rPr>
            <m:lit/>
            <m:nor/>
          </m:rPr>
          <m:t xml:space="preserve">tan</m:t>
        </m:r>
        <m:r>
          <m:t xml:space="preserve">t</m:t>
        </m:r>
        <m:r>
          <m:t xml:space="preserve">=</m:t>
        </m:r>
        <m:r>
          <m:t xml:space="preserve">0</m:t>
        </m:r>
        <m:r>
          <m:rPr>
            <m:lit/>
            <m:nor/>
          </m:rPr>
          <m:t xml:space="preserve">.</m:t>
        </m:r>
        <m:r>
          <m:rPr>
            <m:lit/>
            <m:nor/>
          </m:rPr>
          <m:t xml:space="preserve">0367</m:t>
        </m:r>
        <m:r>
          <m:rPr>
            <m:lit/>
            <m:nor/>
          </m:rPr>
          <m:t xml:space="preserve">%</m:t>
        </m:r>
      </m:oMath>
      <w:r>
        <w:rPr/>
        <w:t xml:space="preserve"> </w:t>
      </w:r>
    </w:p>
    <w:p>
      <w:pPr>
        <w:pStyle w:val="Normal"/>
        <w:jc w:val="both"/>
        <w:rPr/>
      </w:pPr>
      <w:r>
        <w:rPr/>
      </w:r>
    </w:p>
    <w:p>
      <w:pPr>
        <w:pStyle w:val="Normal"/>
        <w:jc w:val="both"/>
        <w:rPr/>
      </w:pPr>
      <w:r>
        <w:rPr/>
        <w:t>The statistics provided to support the fitness of the above equation were:</w:t>
      </w:r>
    </w:p>
    <w:p>
      <w:pPr>
        <w:pStyle w:val="Normal"/>
        <w:numPr>
          <w:ilvl w:val="0"/>
          <w:numId w:val="3"/>
        </w:numPr>
        <w:tabs>
          <w:tab w:val="left" w:pos="720" w:leader="none"/>
        </w:tabs>
        <w:ind w:hanging="360" w:start="720" w:end="0"/>
        <w:jc w:val="both"/>
        <w:rPr/>
      </w:pPr>
      <w:r>
        <w:rPr/>
        <w:t>Sum of squared residuals: 11.46%; Adjusted R-squared: 0.96521</w:t>
      </w:r>
    </w:p>
    <w:p>
      <w:pPr>
        <w:pStyle w:val="Normal"/>
        <w:jc w:val="both"/>
        <w:rPr/>
      </w:pPr>
      <w:r>
        <w:rPr/>
      </w:r>
    </w:p>
    <w:p>
      <w:pPr>
        <w:pStyle w:val="Normal"/>
        <w:jc w:val="both"/>
        <w:rPr/>
      </w:pPr>
      <w:r>
        <w:rPr/>
        <w:t>The forecast equation for short-term DZCV is:</w:t>
      </w:r>
    </w:p>
    <w:p>
      <w:pPr>
        <w:pStyle w:val="Normal"/>
        <w:jc w:val="both"/>
        <w:rPr/>
      </w:pPr>
      <w:r>
        <w:rPr/>
      </w:r>
      <m:oMath xmlns:m="http://schemas.openxmlformats.org/officeDocument/2006/math">
        <m:sSub>
          <m:e>
            <m:r>
              <m:rPr>
                <m:lit/>
                <m:nor/>
              </m:rPr>
              <m:t xml:space="preserve">DZCV</m:t>
            </m:r>
          </m:e>
          <m:sub>
            <m:r>
              <m:t xml:space="preserve">t</m:t>
            </m:r>
          </m:sub>
        </m:sSub>
        <m:r>
          <m:t xml:space="preserve">=</m:t>
        </m:r>
        <m:r>
          <m:t xml:space="preserve">a</m:t>
        </m:r>
        <m:r>
          <m:t xml:space="preserve">×</m:t>
        </m:r>
        <m:sSub>
          <m:e>
            <m:r>
              <m:rPr>
                <m:lit/>
                <m:nor/>
              </m:rPr>
              <m:t xml:space="preserve">RPI</m:t>
            </m:r>
          </m:e>
          <m:sub>
            <m:r>
              <m:t xml:space="preserve">t</m:t>
            </m:r>
          </m:sub>
        </m:sSub>
        <m:r>
          <m:t xml:space="preserve">+</m:t>
        </m:r>
        <m:r>
          <m:t xml:space="preserve">b</m:t>
        </m:r>
        <m:r>
          <m:t xml:space="preserve">×</m:t>
        </m:r>
        <m:sSub>
          <m:e>
            <m:r>
              <m:rPr>
                <m:lit/>
                <m:nor/>
              </m:rPr>
              <m:t xml:space="preserve">DZCV</m:t>
            </m:r>
          </m:e>
          <m:sub>
            <m:r>
              <m:t xml:space="preserve">t</m:t>
            </m:r>
            <m:r>
              <m:t xml:space="preserve">−</m:t>
            </m:r>
            <m:r>
              <m:t xml:space="preserve">1</m:t>
            </m:r>
          </m:sub>
        </m:sSub>
        <m:r>
          <m:t xml:space="preserve">+</m:t>
        </m:r>
        <m:r>
          <m:t xml:space="preserve">c</m:t>
        </m:r>
        <m:r>
          <m:t xml:space="preserve">×</m:t>
        </m:r>
        <m:d>
          <m:dPr>
            <m:begChr m:val="("/>
            <m:endChr m:val=")"/>
          </m:dPr>
          <m:e>
            <m:sSub>
              <m:e>
                <m:r>
                  <m:rPr>
                    <m:lit/>
                    <m:nor/>
                  </m:rPr>
                  <m:t xml:space="preserve">DZCV</m:t>
                </m:r>
              </m:e>
              <m:sub>
                <m:r>
                  <m:t xml:space="preserve">t</m:t>
                </m:r>
                <m:r>
                  <m:t xml:space="preserve">−</m:t>
                </m:r>
                <m:r>
                  <m:t xml:space="preserve">1</m:t>
                </m:r>
              </m:sub>
            </m:sSub>
            <m:r>
              <m:t xml:space="preserve">−</m:t>
            </m:r>
            <m:sSub>
              <m:e>
                <m:r>
                  <m:rPr>
                    <m:lit/>
                    <m:nor/>
                  </m:rPr>
                  <m:t xml:space="preserve">DZCV</m:t>
                </m:r>
              </m:e>
              <m:sub>
                <m:r>
                  <m:t xml:space="preserve">t</m:t>
                </m:r>
                <m:r>
                  <m:t xml:space="preserve">−</m:t>
                </m:r>
                <m:r>
                  <m:t xml:space="preserve">4</m:t>
                </m:r>
              </m:sub>
            </m:sSub>
          </m:e>
        </m:d>
        <m:r>
          <m:t xml:space="preserve">+</m:t>
        </m:r>
        <m:r>
          <m:t xml:space="preserve">d</m:t>
        </m:r>
        <m:r>
          <m:t xml:space="preserve">×</m:t>
        </m:r>
        <m:r>
          <m:rPr>
            <m:lit/>
            <m:nor/>
          </m:rPr>
          <m:t xml:space="preserve">Pr</m:t>
        </m:r>
        <m:r>
          <m:rPr>
            <m:lit/>
            <m:nor/>
          </m:rPr>
          <m:t xml:space="preserve">eviousError</m:t>
        </m:r>
        <m:r>
          <m:t xml:space="preserve">+</m:t>
        </m:r>
        <m:r>
          <m:rPr>
            <m:lit/>
            <m:nor/>
          </m:rPr>
          <m:t xml:space="preserve">cons</m:t>
        </m:r>
        <m:r>
          <m:rPr>
            <m:lit/>
            <m:nor/>
          </m:rPr>
          <m:t xml:space="preserve">tan</m:t>
        </m:r>
        <m:r>
          <m:t xml:space="preserve">t</m:t>
        </m:r>
      </m:oMath>
      <w:r>
        <w:rPr/>
        <w:t xml:space="preserve">Where: </w:t>
      </w:r>
      <w:r>
        <w:rPr/>
      </w:r>
      <m:oMath xmlns:m="http://schemas.openxmlformats.org/officeDocument/2006/math">
        <m:r>
          <m:t xml:space="preserve">a</m:t>
        </m:r>
        <m:r>
          <m:t xml:space="preserve">=</m:t>
        </m:r>
        <m:r>
          <m:t xml:space="preserve">0</m:t>
        </m:r>
        <m:r>
          <m:rPr>
            <m:lit/>
            <m:nor/>
          </m:rPr>
          <m:t xml:space="preserve">.</m:t>
        </m:r>
        <m:r>
          <m:rPr>
            <m:lit/>
            <m:nor/>
          </m:rPr>
          <m:t xml:space="preserve">013725</m:t>
        </m:r>
        <m:r>
          <m:t xml:space="preserve">,</m:t>
        </m:r>
        <m:r>
          <m:t xml:space="preserve">b</m:t>
        </m:r>
        <m:r>
          <m:t xml:space="preserve">=</m:t>
        </m:r>
        <m:r>
          <m:t xml:space="preserve">0</m:t>
        </m:r>
        <m:r>
          <m:rPr>
            <m:lit/>
            <m:nor/>
          </m:rPr>
          <m:t xml:space="preserve">.</m:t>
        </m:r>
        <m:r>
          <m:rPr>
            <m:lit/>
            <m:nor/>
          </m:rPr>
          <m:t xml:space="preserve">978273</m:t>
        </m:r>
        <m:r>
          <m:t xml:space="preserve">,</m:t>
        </m:r>
        <m:r>
          <m:t xml:space="preserve">c</m:t>
        </m:r>
        <m:r>
          <m:t xml:space="preserve">=</m:t>
        </m:r>
        <m:r>
          <m:t xml:space="preserve">0</m:t>
        </m:r>
        <m:r>
          <m:rPr>
            <m:lit/>
            <m:nor/>
          </m:rPr>
          <m:t xml:space="preserve">.</m:t>
        </m:r>
        <m:r>
          <m:rPr>
            <m:lit/>
            <m:nor/>
          </m:rPr>
          <m:t xml:space="preserve">177009</m:t>
        </m:r>
        <m:r>
          <m:t xml:space="preserve">,</m:t>
        </m:r>
        <m:r>
          <m:t xml:space="preserve">d</m:t>
        </m:r>
        <m:r>
          <m:t xml:space="preserve">=</m:t>
        </m:r>
        <m:r>
          <m:t xml:space="preserve">−</m:t>
        </m:r>
        <m:r>
          <m:t xml:space="preserve">0</m:t>
        </m:r>
        <m:r>
          <m:rPr>
            <m:lit/>
            <m:nor/>
          </m:rPr>
          <m:t xml:space="preserve">.</m:t>
        </m:r>
        <m:r>
          <m:rPr>
            <m:lit/>
            <m:nor/>
          </m:rPr>
          <m:t xml:space="preserve">0412</m:t>
        </m:r>
        <m:r>
          <m:t xml:space="preserve">,</m:t>
        </m:r>
        <m:r>
          <m:rPr>
            <m:lit/>
            <m:nor/>
          </m:rPr>
          <m:t xml:space="preserve">cons</m:t>
        </m:r>
        <m:r>
          <m:rPr>
            <m:lit/>
            <m:nor/>
          </m:rPr>
          <m:t xml:space="preserve">tan</m:t>
        </m:r>
        <m:r>
          <m:t xml:space="preserve">t</m:t>
        </m:r>
        <m:r>
          <m:t xml:space="preserve">=</m:t>
        </m:r>
        <m:r>
          <m:t xml:space="preserve">−</m:t>
        </m:r>
        <m:r>
          <m:t xml:space="preserve">0</m:t>
        </m:r>
        <m:r>
          <m:rPr>
            <m:lit/>
            <m:nor/>
          </m:rPr>
          <m:t xml:space="preserve">.</m:t>
        </m:r>
        <m:r>
          <m:rPr>
            <m:lit/>
            <m:nor/>
          </m:rPr>
          <m:t xml:space="preserve">0023</m:t>
        </m:r>
        <m:r>
          <m:rPr>
            <m:lit/>
            <m:nor/>
          </m:rPr>
          <m:t xml:space="preserve">%</m:t>
        </m:r>
      </m:oMath>
      <w:r>
        <w:rPr/>
        <w:t xml:space="preserve"> </w:t>
      </w:r>
    </w:p>
    <w:p>
      <w:pPr>
        <w:pStyle w:val="Normal"/>
        <w:jc w:val="both"/>
        <w:rPr/>
      </w:pPr>
      <w:r>
        <w:rPr/>
      </w:r>
    </w:p>
    <w:p>
      <w:pPr>
        <w:pStyle w:val="Normal"/>
        <w:jc w:val="both"/>
        <w:rPr/>
      </w:pPr>
      <w:r>
        <w:rPr/>
        <w:t>The statistics provided to support the fitness of the above equation were:</w:t>
      </w:r>
    </w:p>
    <w:p>
      <w:pPr>
        <w:pStyle w:val="Normal"/>
        <w:numPr>
          <w:ilvl w:val="0"/>
          <w:numId w:val="3"/>
        </w:numPr>
        <w:tabs>
          <w:tab w:val="left" w:pos="720" w:leader="none"/>
        </w:tabs>
        <w:ind w:hanging="360" w:start="720" w:end="0"/>
        <w:jc w:val="both"/>
        <w:rPr/>
      </w:pPr>
      <w:r>
        <w:rPr/>
        <w:t>Sum of squared residuals: 3.76%; Adjusted R-squared: 0.976625</w:t>
      </w:r>
    </w:p>
    <w:p>
      <w:pPr>
        <w:pStyle w:val="Normal"/>
        <w:jc w:val="both"/>
        <w:rPr/>
      </w:pPr>
      <w:r>
        <w:rPr/>
      </w:r>
    </w:p>
    <w:p>
      <w:pPr>
        <w:pStyle w:val="Normal"/>
        <w:jc w:val="both"/>
        <w:rPr/>
      </w:pPr>
      <w:r>
        <w:rPr/>
        <w:t xml:space="preserve">The short-term equations forecast up to 9 months ahead. The short-term forecasts from 10 to 18 months are blended with long-term forecasts. </w:t>
      </w:r>
    </w:p>
    <w:p>
      <w:pPr>
        <w:pStyle w:val="Normal"/>
        <w:jc w:val="both"/>
        <w:rPr/>
      </w:pPr>
      <w:r>
        <w:rPr/>
        <w:t xml:space="preserve">As the expected RPI near-end forecast is not expected to be reliable, the short-term RPI is input manually into the PLLU short-term model, and it reflects the current economic forecasts. </w:t>
      </w:r>
    </w:p>
    <w:p>
      <w:pPr>
        <w:pStyle w:val="Heading3"/>
        <w:ind w:hanging="0" w:start="0"/>
        <w:rPr>
          <w:sz w:val="20"/>
        </w:rPr>
      </w:pPr>
      <w:r>
        <w:rPr>
          <w:sz w:val="20"/>
        </w:rPr>
      </w:r>
    </w:p>
    <w:p>
      <w:pPr>
        <w:pStyle w:val="Heading3"/>
        <w:ind w:hanging="0" w:start="0"/>
        <w:rPr>
          <w:sz w:val="20"/>
          <w:u w:val="single"/>
        </w:rPr>
      </w:pPr>
      <w:r>
        <w:rPr>
          <w:sz w:val="20"/>
          <w:u w:val="single"/>
        </w:rPr>
        <w:t>2.2.2.2– Criticisms</w:t>
      </w:r>
    </w:p>
    <w:p>
      <w:pPr>
        <w:pStyle w:val="Normal"/>
        <w:jc w:val="both"/>
        <w:rPr>
          <w:sz w:val="20"/>
          <w:u w:val="single"/>
        </w:rPr>
      </w:pPr>
      <w:r>
        <w:rPr>
          <w:sz w:val="20"/>
          <w:u w:val="single"/>
        </w:rPr>
      </w:r>
    </w:p>
    <w:p>
      <w:pPr>
        <w:pStyle w:val="Normal"/>
        <w:jc w:val="both"/>
        <w:rPr/>
      </w:pPr>
      <w:r>
        <w:rPr/>
        <w:t>The following points indicate the model could be improved by further investigation research.</w:t>
      </w:r>
    </w:p>
    <w:p>
      <w:pPr>
        <w:pStyle w:val="Normal"/>
        <w:jc w:val="both"/>
        <w:rPr/>
      </w:pPr>
      <w:r>
        <w:rPr/>
      </w:r>
    </w:p>
    <w:p>
      <w:pPr>
        <w:pStyle w:val="Normal"/>
        <w:numPr>
          <w:ilvl w:val="0"/>
          <w:numId w:val="20"/>
        </w:numPr>
        <w:jc w:val="both"/>
        <w:rPr/>
      </w:pPr>
      <w:r>
        <w:rPr/>
        <w:t>The data was not normalised introducing a bias in the estimation of the forecast/actual deviation. The error metric is a summation of squared residuals. It does not capture the fact that the magnitude of a 1% absolute deviation from a 7% index is different from the magnitude of a 1% absolute deviation from a 2% index. This issue could be addressed by allowing the error metric to be the summation of the squared relative deviations.</w:t>
      </w:r>
    </w:p>
    <w:p>
      <w:pPr>
        <w:pStyle w:val="Normal"/>
        <w:jc w:val="both"/>
        <w:rPr/>
      </w:pPr>
      <w:r>
        <w:rPr/>
      </w:r>
    </w:p>
    <w:p>
      <w:pPr>
        <w:pStyle w:val="Normal"/>
        <w:numPr>
          <w:ilvl w:val="0"/>
          <w:numId w:val="20"/>
        </w:numPr>
        <w:jc w:val="both"/>
        <w:rPr/>
      </w:pPr>
      <w:r>
        <w:rPr/>
        <w:t>The model provides an equation that explains the past. This issue is further clarified:</w:t>
      </w:r>
    </w:p>
    <w:p>
      <w:pPr>
        <w:pStyle w:val="Normal"/>
        <w:ind w:start="360" w:end="0"/>
        <w:jc w:val="both"/>
        <w:rPr/>
      </w:pPr>
      <w:r>
        <w:rPr/>
      </w:r>
    </w:p>
    <w:p>
      <w:pPr>
        <w:pStyle w:val="Normal"/>
        <w:ind w:start="360" w:end="0"/>
        <w:jc w:val="both"/>
        <w:rPr/>
      </w:pPr>
      <w:r>
        <w:rPr/>
        <w:t xml:space="preserve">The model equation generates the fitted curve and the forecast curve. The error is calculated as the fitted curve deviation from the observed inflation. As the objective of the curve is to forecast inflation (not explain) the error should have included the forecast curve deviation from observed inflation. </w:t>
      </w:r>
    </w:p>
    <w:p>
      <w:pPr>
        <w:pStyle w:val="Normal"/>
        <w:ind w:start="360" w:end="0"/>
        <w:jc w:val="both"/>
        <w:rPr/>
      </w:pPr>
      <w:r>
        <w:rPr/>
        <w:t>It is relatively easy to obtain a good in-the-sample backtesting, but it only explains the past. The difficulty lies in obtaining a good out-of-the-sample backtesting, which is the goal of a forecast model. Assessing a forecast model by means of an in-the-sample technique might be significantly misleading.</w:t>
      </w:r>
    </w:p>
    <w:p>
      <w:pPr>
        <w:pStyle w:val="Normal"/>
        <w:ind w:start="360" w:end="0"/>
        <w:jc w:val="both"/>
        <w:rPr/>
      </w:pPr>
      <w:r>
        <w:rPr/>
        <w:t>RAC conducted an out-of-the-sample backtesting. The results are presented in the section ‘Review of Live Model’.</w:t>
      </w:r>
    </w:p>
    <w:p>
      <w:pPr>
        <w:pStyle w:val="Normal"/>
        <w:jc w:val="both"/>
        <w:rPr/>
      </w:pPr>
      <w:r>
        <w:rPr/>
      </w:r>
    </w:p>
    <w:p>
      <w:pPr>
        <w:pStyle w:val="Normal"/>
        <w:numPr>
          <w:ilvl w:val="0"/>
          <w:numId w:val="19"/>
        </w:numPr>
        <w:jc w:val="both"/>
        <w:rPr/>
      </w:pPr>
      <w:r>
        <w:rPr/>
        <w:t>The analysis of the time series suggests there has been a rupture in the inflation pattern. The introduction of dummies could improve the model output.</w:t>
      </w:r>
    </w:p>
    <w:p>
      <w:pPr>
        <w:pStyle w:val="Normal"/>
        <w:numPr>
          <w:ilvl w:val="0"/>
          <w:numId w:val="19"/>
        </w:numPr>
        <w:jc w:val="both"/>
        <w:rPr/>
      </w:pPr>
      <w:r>
        <w:rPr/>
        <w:t>Insufficient documentation was provided supporting the model (assumptions, source of input data, description of algorithm, alternative methodologies, validation, etc).</w:t>
      </w:r>
    </w:p>
    <w:p>
      <w:pPr>
        <w:pStyle w:val="Normal"/>
        <w:jc w:val="both"/>
        <w:rPr/>
      </w:pPr>
      <w:r>
        <w:rPr/>
      </w:r>
    </w:p>
    <w:p>
      <w:pPr>
        <w:pStyle w:val="Heading3"/>
        <w:ind w:hanging="0" w:start="0"/>
        <w:rPr>
          <w:sz w:val="20"/>
          <w:u w:val="single"/>
        </w:rPr>
      </w:pPr>
      <w:r>
        <w:rPr>
          <w:sz w:val="20"/>
          <w:u w:val="single"/>
        </w:rPr>
        <w:t>2.2.3- Medium Term PLLU and DZCV</w:t>
      </w:r>
    </w:p>
    <w:p>
      <w:pPr>
        <w:pStyle w:val="Heading3"/>
        <w:ind w:hanging="0" w:start="0"/>
        <w:rPr>
          <w:sz w:val="20"/>
          <w:u w:val="single"/>
        </w:rPr>
      </w:pPr>
      <w:r>
        <w:rPr>
          <w:sz w:val="20"/>
          <w:u w:val="single"/>
        </w:rPr>
      </w:r>
    </w:p>
    <w:p>
      <w:pPr>
        <w:pStyle w:val="Heading3"/>
        <w:ind w:hanging="0" w:start="0"/>
        <w:rPr>
          <w:sz w:val="20"/>
          <w:u w:val="single"/>
        </w:rPr>
      </w:pPr>
      <w:r>
        <w:rPr>
          <w:sz w:val="20"/>
          <w:u w:val="single"/>
        </w:rPr>
        <w:t>2.2.3.1 - Modelling Approach</w:t>
      </w:r>
    </w:p>
    <w:p>
      <w:pPr>
        <w:pStyle w:val="Normal"/>
        <w:jc w:val="both"/>
        <w:rPr>
          <w:sz w:val="20"/>
          <w:u w:val="single"/>
        </w:rPr>
      </w:pPr>
      <w:r>
        <w:rPr>
          <w:sz w:val="20"/>
          <w:u w:val="single"/>
        </w:rPr>
      </w:r>
    </w:p>
    <w:p>
      <w:pPr>
        <w:pStyle w:val="Normal"/>
        <w:jc w:val="both"/>
        <w:rPr/>
      </w:pPr>
      <w:r>
        <w:rPr/>
        <w:t xml:space="preserve">The medium term of the curve is from 10 months to 18 months. It is constructed by blending the short-term forecast and the long-term forecast using exponential weighting.  </w:t>
      </w:r>
    </w:p>
    <w:p>
      <w:pPr>
        <w:pStyle w:val="Normal"/>
        <w:jc w:val="both"/>
        <w:rPr/>
      </w:pPr>
      <w:r>
        <w:rPr/>
      </w:r>
    </w:p>
    <w:p>
      <w:pPr>
        <w:pStyle w:val="Heading3"/>
        <w:ind w:hanging="0" w:start="0"/>
        <w:rPr>
          <w:sz w:val="20"/>
          <w:u w:val="single"/>
        </w:rPr>
      </w:pPr>
      <w:r>
        <w:rPr>
          <w:sz w:val="20"/>
          <w:u w:val="single"/>
        </w:rPr>
        <w:t>2.2.3.2– Criticisms</w:t>
      </w:r>
    </w:p>
    <w:p>
      <w:pPr>
        <w:pStyle w:val="Normal"/>
        <w:jc w:val="both"/>
        <w:rPr>
          <w:sz w:val="20"/>
          <w:u w:val="single"/>
        </w:rPr>
      </w:pPr>
      <w:r>
        <w:rPr>
          <w:sz w:val="20"/>
          <w:u w:val="single"/>
        </w:rPr>
      </w:r>
    </w:p>
    <w:p>
      <w:pPr>
        <w:pStyle w:val="Normal"/>
        <w:numPr>
          <w:ilvl w:val="0"/>
          <w:numId w:val="18"/>
        </w:numPr>
        <w:tabs>
          <w:tab w:val="left" w:pos="720" w:leader="none"/>
        </w:tabs>
        <w:ind w:hanging="360" w:start="720" w:end="0"/>
        <w:jc w:val="both"/>
        <w:rPr/>
      </w:pPr>
      <w:r>
        <w:rPr/>
        <w:t xml:space="preserve">No documentation has been provided supporting the choice of the exponential weights for the PLLU and DZCV curves. </w:t>
      </w:r>
    </w:p>
    <w:p>
      <w:pPr>
        <w:pStyle w:val="Normal"/>
        <w:ind w:start="360" w:end="0"/>
        <w:jc w:val="both"/>
        <w:rPr/>
      </w:pPr>
      <w:r>
        <w:rPr/>
      </w:r>
    </w:p>
    <w:p>
      <w:pPr>
        <w:pStyle w:val="BodyText2"/>
        <w:numPr>
          <w:ilvl w:val="0"/>
          <w:numId w:val="18"/>
        </w:numPr>
        <w:tabs>
          <w:tab w:val="left" w:pos="720" w:leader="none"/>
        </w:tabs>
        <w:ind w:hanging="360" w:start="720" w:end="0"/>
        <w:rPr/>
      </w:pPr>
      <w:r>
        <w:rPr/>
        <w:t>A smooth medium-term curve will be generated even in cases where the short-term forecast significantly opposes the direction and magnitude of the long-term forecast.</w:t>
      </w:r>
    </w:p>
    <w:p>
      <w:pPr>
        <w:pStyle w:val="Normal"/>
        <w:jc w:val="both"/>
        <w:rPr/>
      </w:pPr>
      <w:r>
        <w:rPr/>
      </w:r>
    </w:p>
    <w:p>
      <w:pPr>
        <w:pStyle w:val="Normal"/>
        <w:jc w:val="both"/>
        <w:rPr/>
      </w:pPr>
      <w:r>
        <w:rPr/>
      </w:r>
    </w:p>
    <w:p>
      <w:pPr>
        <w:pStyle w:val="Heading3"/>
        <w:ind w:hanging="0" w:start="0"/>
        <w:rPr>
          <w:sz w:val="20"/>
          <w:u w:val="single"/>
        </w:rPr>
      </w:pPr>
      <w:r>
        <w:rPr>
          <w:sz w:val="20"/>
          <w:u w:val="single"/>
        </w:rPr>
        <w:t>2.2.4- Long Term PLLU and DZCV</w:t>
      </w:r>
    </w:p>
    <w:p>
      <w:pPr>
        <w:pStyle w:val="Heading3"/>
        <w:ind w:hanging="0" w:start="0"/>
        <w:rPr>
          <w:sz w:val="20"/>
          <w:u w:val="single"/>
        </w:rPr>
      </w:pPr>
      <w:r>
        <w:rPr>
          <w:sz w:val="20"/>
          <w:u w:val="single"/>
        </w:rPr>
      </w:r>
    </w:p>
    <w:p>
      <w:pPr>
        <w:pStyle w:val="Heading3"/>
        <w:ind w:hanging="0" w:start="0"/>
        <w:rPr>
          <w:sz w:val="20"/>
          <w:u w:val="single"/>
        </w:rPr>
      </w:pPr>
      <w:r>
        <w:rPr>
          <w:sz w:val="20"/>
          <w:u w:val="single"/>
        </w:rPr>
        <w:t>2.2.4.1- Modelling Approach</w:t>
      </w:r>
    </w:p>
    <w:p>
      <w:pPr>
        <w:pStyle w:val="Normal"/>
        <w:jc w:val="both"/>
        <w:rPr>
          <w:sz w:val="20"/>
          <w:u w:val="single"/>
        </w:rPr>
      </w:pPr>
      <w:r>
        <w:rPr>
          <w:sz w:val="20"/>
          <w:u w:val="single"/>
        </w:rPr>
      </w:r>
    </w:p>
    <w:p>
      <w:pPr>
        <w:pStyle w:val="Normal"/>
        <w:jc w:val="both"/>
        <w:rPr/>
      </w:pPr>
      <w:r>
        <w:rPr/>
        <w:t>The main factors in the model determining the PLLU forecast are (i) RPI time series, (ii) a deviation from an equilibrium price for crude, and (iii) a constant:</w:t>
      </w:r>
    </w:p>
    <w:p>
      <w:pPr>
        <w:pStyle w:val="Normal"/>
        <w:jc w:val="both"/>
        <w:rPr/>
      </w:pPr>
      <w:r>
        <w:rPr/>
      </w:r>
    </w:p>
    <w:p>
      <w:pPr>
        <w:pStyle w:val="Normal"/>
        <w:jc w:val="both"/>
        <w:rPr/>
      </w:pPr>
      <w:r>
        <w:rPr/>
      </w:r>
      <m:oMathPara xmlns:m="http://schemas.openxmlformats.org/officeDocument/2006/math">
        <m:oMathParaPr>
          <m:jc m:val="left"/>
        </m:oMathParaPr>
        <m:oMath>
          <m:sSub>
            <m:e>
              <m:r>
                <m:rPr>
                  <m:lit/>
                  <m:nor/>
                </m:rPr>
                <m:t xml:space="preserve">PLLU</m:t>
              </m:r>
            </m:e>
            <m:sub>
              <m:r>
                <m:t xml:space="preserve">t</m:t>
              </m:r>
            </m:sub>
          </m:sSub>
          <m:r>
            <m:t xml:space="preserve">=</m:t>
          </m:r>
          <m:r>
            <m:t xml:space="preserve">a</m:t>
          </m:r>
          <m:r>
            <m:t xml:space="preserve">×</m:t>
          </m:r>
          <m:sSub>
            <m:e>
              <m:r>
                <m:rPr>
                  <m:lit/>
                  <m:nor/>
                </m:rPr>
                <m:t xml:space="preserve">RPI</m:t>
              </m:r>
            </m:e>
            <m:sub>
              <m:r>
                <m:t xml:space="preserve">t</m:t>
              </m:r>
            </m:sub>
          </m:sSub>
          <m:r>
            <m:t xml:space="preserve">+</m:t>
          </m:r>
          <m:r>
            <m:t xml:space="preserve">b</m:t>
          </m:r>
          <m:r>
            <m:t xml:space="preserve">×</m:t>
          </m:r>
          <m:sSub>
            <m:e>
              <m:r>
                <m:rPr>
                  <m:lit/>
                  <m:nor/>
                </m:rPr>
                <m:t xml:space="preserve">RPI</m:t>
              </m:r>
            </m:e>
            <m:sub>
              <m:r>
                <m:t xml:space="preserve">t</m:t>
              </m:r>
              <m:r>
                <m:t xml:space="preserve">−</m:t>
              </m:r>
              <m:r>
                <m:rPr>
                  <m:lit/>
                  <m:nor/>
                </m:rPr>
                <m:t xml:space="preserve">15</m:t>
              </m:r>
            </m:sub>
          </m:sSub>
          <m:r>
            <m:t xml:space="preserve">+</m:t>
          </m:r>
          <m:r>
            <m:t xml:space="preserve">c</m:t>
          </m:r>
          <m:r>
            <m:t xml:space="preserve">×</m:t>
          </m:r>
          <m:d>
            <m:dPr>
              <m:begChr m:val="("/>
              <m:endChr m:val=")"/>
            </m:dPr>
            <m:e>
              <m:sSub>
                <m:e>
                  <m:r>
                    <m:rPr>
                      <m:lit/>
                      <m:nor/>
                    </m:rPr>
                    <m:t xml:space="preserve">BrentCrude</m:t>
                  </m:r>
                </m:e>
                <m:sub>
                  <m:r>
                    <m:t xml:space="preserve">t</m:t>
                  </m:r>
                </m:sub>
              </m:sSub>
              <m:r>
                <m:t xml:space="preserve"> </m:t>
              </m:r>
              <m:r>
                <m:t xml:space="preserve">−</m:t>
              </m:r>
              <m:r>
                <m:rPr>
                  <m:lit/>
                  <m:nor/>
                </m:rPr>
                <m:t xml:space="preserve">18</m:t>
              </m:r>
              <m:r>
                <m:rPr>
                  <m:lit/>
                  <m:nor/>
                </m:rPr>
                <m:t xml:space="preserve">.</m:t>
              </m:r>
              <m:r>
                <m:t xml:space="preserve">8</m:t>
              </m:r>
            </m:e>
          </m:d>
          <m:r>
            <m:t xml:space="preserve">+</m:t>
          </m:r>
          <m:r>
            <m:rPr>
              <m:lit/>
              <m:nor/>
            </m:rPr>
            <m:t xml:space="preserve">cons</m:t>
          </m:r>
          <m:r>
            <m:rPr>
              <m:lit/>
              <m:nor/>
            </m:rPr>
            <m:t xml:space="preserve">tan</m:t>
          </m:r>
          <m:r>
            <m:t xml:space="preserve">t</m:t>
          </m:r>
        </m:oMath>
      </m:oMathPara>
    </w:p>
    <w:p>
      <w:pPr>
        <w:pStyle w:val="Normal"/>
        <w:jc w:val="both"/>
        <w:rPr/>
      </w:pPr>
      <w:r>
        <w:rPr/>
        <w:t xml:space="preserve">Where   </w:t>
      </w:r>
      <w:r>
        <w:rPr/>
      </w:r>
      <m:oMath xmlns:m="http://schemas.openxmlformats.org/officeDocument/2006/math">
        <m:r>
          <m:t xml:space="preserve">a</m:t>
        </m:r>
        <m:r>
          <m:t xml:space="preserve">=</m:t>
        </m:r>
        <m:r>
          <m:t xml:space="preserve">0</m:t>
        </m:r>
        <m:r>
          <m:rPr>
            <m:lit/>
            <m:nor/>
          </m:rPr>
          <m:t xml:space="preserve">.</m:t>
        </m:r>
        <m:r>
          <m:rPr>
            <m:lit/>
            <m:nor/>
          </m:rPr>
          <m:t xml:space="preserve">3910</m:t>
        </m:r>
        <m:r>
          <m:t xml:space="preserve">,</m:t>
        </m:r>
        <m:r>
          <m:t xml:space="preserve">b</m:t>
        </m:r>
        <m:r>
          <m:t xml:space="preserve">=</m:t>
        </m:r>
        <m:r>
          <m:t xml:space="preserve">0</m:t>
        </m:r>
        <m:r>
          <m:rPr>
            <m:lit/>
            <m:nor/>
          </m:rPr>
          <m:t xml:space="preserve">.</m:t>
        </m:r>
        <m:r>
          <m:rPr>
            <m:lit/>
            <m:nor/>
          </m:rPr>
          <m:t xml:space="preserve">3700</m:t>
        </m:r>
        <m:r>
          <m:t xml:space="preserve">,</m:t>
        </m:r>
        <m:r>
          <m:t xml:space="preserve">c</m:t>
        </m:r>
        <m:r>
          <m:t xml:space="preserve">=</m:t>
        </m:r>
        <m:r>
          <m:t xml:space="preserve">0</m:t>
        </m:r>
        <m:r>
          <m:rPr>
            <m:lit/>
            <m:nor/>
          </m:rPr>
          <m:t xml:space="preserve">.</m:t>
        </m:r>
        <m:r>
          <m:rPr>
            <m:lit/>
            <m:nor/>
          </m:rPr>
          <m:t xml:space="preserve">0550</m:t>
        </m:r>
        <m:r>
          <m:t xml:space="preserve">,</m:t>
        </m:r>
        <m:r>
          <m:rPr>
            <m:lit/>
            <m:nor/>
          </m:rPr>
          <m:t xml:space="preserve">cons</m:t>
        </m:r>
        <m:r>
          <m:rPr>
            <m:lit/>
            <m:nor/>
          </m:rPr>
          <m:t xml:space="preserve">tan</m:t>
        </m:r>
        <m:r>
          <m:t xml:space="preserve">t</m:t>
        </m:r>
        <m:r>
          <m:t xml:space="preserve">=</m:t>
        </m:r>
        <m:r>
          <m:t xml:space="preserve">0</m:t>
        </m:r>
        <m:r>
          <m:rPr>
            <m:lit/>
            <m:nor/>
          </m:rPr>
          <m:t xml:space="preserve">.</m:t>
        </m:r>
        <m:r>
          <m:rPr>
            <m:lit/>
            <m:nor/>
          </m:rPr>
          <m:t xml:space="preserve">725</m:t>
        </m:r>
        <m:r>
          <m:rPr>
            <m:lit/>
            <m:nor/>
          </m:rPr>
          <m:t xml:space="preserve">%</m:t>
        </m:r>
      </m:oMath>
    </w:p>
    <w:p>
      <w:pPr>
        <w:pStyle w:val="Normal"/>
        <w:jc w:val="both"/>
        <w:rPr/>
      </w:pPr>
      <w:r>
        <w:rPr/>
      </w:r>
    </w:p>
    <w:p>
      <w:pPr>
        <w:pStyle w:val="Normal"/>
        <w:jc w:val="both"/>
        <w:rPr/>
      </w:pPr>
      <w:r>
        <w:rPr/>
        <w:t>The DZCV forecast is a function of (i) RPI, (ii) PLLU, and (iii) a constant as follows:</w:t>
      </w:r>
    </w:p>
    <w:p>
      <w:pPr>
        <w:pStyle w:val="Normal"/>
        <w:jc w:val="both"/>
        <w:rPr/>
      </w:pPr>
      <w:r>
        <w:rPr/>
      </w:r>
    </w:p>
    <w:p>
      <w:pPr>
        <w:pStyle w:val="Normal"/>
        <w:jc w:val="both"/>
        <w:rPr/>
      </w:pPr>
      <w:r>
        <w:rPr/>
      </w:r>
      <m:oMathPara xmlns:m="http://schemas.openxmlformats.org/officeDocument/2006/math">
        <m:oMathParaPr>
          <m:jc m:val="left"/>
        </m:oMathParaPr>
        <m:oMath>
          <m:sSub>
            <m:e>
              <m:r>
                <m:rPr>
                  <m:lit/>
                  <m:nor/>
                </m:rPr>
                <m:t xml:space="preserve">DZCV</m:t>
              </m:r>
            </m:e>
            <m:sub>
              <m:r>
                <m:t xml:space="preserve">t</m:t>
              </m:r>
            </m:sub>
          </m:sSub>
          <m:r>
            <m:t xml:space="preserve">=</m:t>
          </m:r>
          <m:r>
            <m:t xml:space="preserve">a</m:t>
          </m:r>
          <m:r>
            <m:t xml:space="preserve">×</m:t>
          </m:r>
          <m:sSub>
            <m:e>
              <m:r>
                <m:rPr>
                  <m:lit/>
                  <m:nor/>
                </m:rPr>
                <m:t xml:space="preserve">RPI</m:t>
              </m:r>
            </m:e>
            <m:sub>
              <m:r>
                <m:t xml:space="preserve">t</m:t>
              </m:r>
            </m:sub>
          </m:sSub>
          <m:r>
            <m:t xml:space="preserve">+</m:t>
          </m:r>
          <m:r>
            <m:t xml:space="preserve">b</m:t>
          </m:r>
          <m:r>
            <m:t xml:space="preserve">×</m:t>
          </m:r>
          <m:sSub>
            <m:e>
              <m:r>
                <m:rPr>
                  <m:lit/>
                  <m:nor/>
                </m:rPr>
                <m:t xml:space="preserve">PLLU</m:t>
              </m:r>
            </m:e>
            <m:sub>
              <m:r>
                <m:t xml:space="preserve">t</m:t>
              </m:r>
            </m:sub>
          </m:sSub>
          <m:r>
            <m:t xml:space="preserve">+</m:t>
          </m:r>
          <m:r>
            <m:rPr>
              <m:lit/>
              <m:nor/>
            </m:rPr>
            <m:t xml:space="preserve">cons</m:t>
          </m:r>
          <m:r>
            <m:rPr>
              <m:lit/>
              <m:nor/>
            </m:rPr>
            <m:t xml:space="preserve">tan</m:t>
          </m:r>
          <m:r>
            <m:t xml:space="preserve">t</m:t>
          </m:r>
        </m:oMath>
      </m:oMathPara>
    </w:p>
    <w:p>
      <w:pPr>
        <w:pStyle w:val="Normal"/>
        <w:jc w:val="both"/>
        <w:rPr/>
      </w:pPr>
      <w:r>
        <w:rPr/>
        <w:t xml:space="preserve">Where  </w:t>
      </w:r>
      <w:r>
        <w:rPr/>
      </w:r>
      <m:oMath xmlns:m="http://schemas.openxmlformats.org/officeDocument/2006/math">
        <m:r>
          <m:t xml:space="preserve">a</m:t>
        </m:r>
        <m:r>
          <m:t xml:space="preserve">=</m:t>
        </m:r>
        <m:r>
          <m:t xml:space="preserve">0</m:t>
        </m:r>
        <m:r>
          <m:rPr>
            <m:lit/>
            <m:nor/>
          </m:rPr>
          <m:t xml:space="preserve">.</m:t>
        </m:r>
        <m:r>
          <m:rPr>
            <m:lit/>
            <m:nor/>
          </m:rPr>
          <m:t xml:space="preserve">109000</m:t>
        </m:r>
        <m:r>
          <m:t xml:space="preserve">,</m:t>
        </m:r>
        <m:r>
          <m:t xml:space="preserve">b</m:t>
        </m:r>
        <m:r>
          <m:t xml:space="preserve">=</m:t>
        </m:r>
        <m:r>
          <m:t xml:space="preserve">0</m:t>
        </m:r>
        <m:r>
          <m:rPr>
            <m:lit/>
            <m:nor/>
          </m:rPr>
          <m:t xml:space="preserve">.</m:t>
        </m:r>
        <m:r>
          <m:rPr>
            <m:lit/>
            <m:nor/>
          </m:rPr>
          <m:t xml:space="preserve">85500</m:t>
        </m:r>
        <m:r>
          <m:t xml:space="preserve">,</m:t>
        </m:r>
        <m:r>
          <m:rPr>
            <m:lit/>
            <m:nor/>
          </m:rPr>
          <m:t xml:space="preserve">cons</m:t>
        </m:r>
        <m:r>
          <m:rPr>
            <m:lit/>
            <m:nor/>
          </m:rPr>
          <m:t xml:space="preserve">tan</m:t>
        </m:r>
        <m:r>
          <m:t xml:space="preserve">t</m:t>
        </m:r>
        <m:r>
          <m:t xml:space="preserve">=</m:t>
        </m:r>
        <m:r>
          <m:t xml:space="preserve">−</m:t>
        </m:r>
        <m:r>
          <m:t xml:space="preserve">0</m:t>
        </m:r>
        <m:r>
          <m:rPr>
            <m:lit/>
            <m:nor/>
          </m:rPr>
          <m:t xml:space="preserve">.</m:t>
        </m:r>
        <m:r>
          <m:rPr>
            <m:lit/>
            <m:nor/>
          </m:rPr>
          <m:t xml:space="preserve">3930</m:t>
        </m:r>
      </m:oMath>
    </w:p>
    <w:p>
      <w:pPr>
        <w:pStyle w:val="Normal"/>
        <w:jc w:val="both"/>
        <w:rPr/>
      </w:pPr>
      <w:r>
        <w:rPr/>
      </w:r>
    </w:p>
    <w:p>
      <w:pPr>
        <w:pStyle w:val="Heading3"/>
        <w:ind w:hanging="0" w:start="0"/>
        <w:rPr>
          <w:sz w:val="20"/>
          <w:u w:val="single"/>
        </w:rPr>
      </w:pPr>
      <w:r>
        <w:rPr>
          <w:sz w:val="20"/>
          <w:u w:val="single"/>
        </w:rPr>
        <w:t>2.2.4.2– Criticisms</w:t>
      </w:r>
    </w:p>
    <w:p>
      <w:pPr>
        <w:pStyle w:val="Normal"/>
        <w:jc w:val="both"/>
        <w:rPr>
          <w:sz w:val="20"/>
          <w:u w:val="single"/>
        </w:rPr>
      </w:pPr>
      <w:r>
        <w:rPr>
          <w:sz w:val="20"/>
          <w:u w:val="single"/>
        </w:rPr>
      </w:r>
    </w:p>
    <w:p>
      <w:pPr>
        <w:pStyle w:val="Normal"/>
        <w:numPr>
          <w:ilvl w:val="0"/>
          <w:numId w:val="17"/>
        </w:numPr>
        <w:jc w:val="both"/>
        <w:rPr/>
      </w:pPr>
      <w:r>
        <w:rPr/>
        <w:t>Insufficient documentation was provided supporting the model (assumptions, source of input data, description of algorithm, alternative methodologies, validation, etc).</w:t>
      </w:r>
    </w:p>
    <w:p>
      <w:pPr>
        <w:pStyle w:val="Normal"/>
        <w:jc w:val="both"/>
        <w:rPr/>
      </w:pPr>
      <w:r>
        <w:rPr/>
      </w:r>
    </w:p>
    <w:p>
      <w:pPr>
        <w:pStyle w:val="Normal"/>
        <w:numPr>
          <w:ilvl w:val="0"/>
          <w:numId w:val="17"/>
        </w:numPr>
        <w:jc w:val="both"/>
        <w:rPr/>
      </w:pPr>
      <w:r>
        <w:rPr/>
        <w:t>The equilibrium price for crude at $18.8 is a strong assumption. It appears the proposed equilibrium pattern is no longer valid given recent price fluctuations.</w:t>
      </w:r>
    </w:p>
    <w:p>
      <w:pPr>
        <w:pStyle w:val="Normal"/>
        <w:jc w:val="both"/>
        <w:rPr/>
      </w:pPr>
      <w:r>
        <w:rPr/>
      </w:r>
    </w:p>
    <w:p>
      <w:pPr>
        <w:pStyle w:val="Normal"/>
        <w:numPr>
          <w:ilvl w:val="0"/>
          <w:numId w:val="17"/>
        </w:numPr>
        <w:jc w:val="both"/>
        <w:rPr/>
      </w:pPr>
      <w:r>
        <w:rPr/>
        <w:t>A comparison of the forecast long-term PLLU against the realised PLLU from March 1990 to September 1998 shows that the forecast ability is not adequate (please see the following graph). The average relative deviation is 48.68% and its volatility 135%.</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lang w:val="en-CA"/>
        </w:rPr>
      </w:pPr>
      <w:r>
        <w:rPr>
          <w:lang w:val="en-CA"/>
        </w:rPr>
        <w:object w:dxaOrig="7681" w:dyaOrig="4097">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39.6pt;margin-top:7.2pt;width:362.25pt;height:202.5pt;mso-wrap-distance-left:9.05pt;mso-wrap-distance-right:9.05pt;mso-position-horizontal-relative:text;mso-position-vertical-relative:text" filled="f" o:ole="">
            <v:imagedata r:id="rId3" o:title=""/>
            <w10:wrap type="topAndBottom"/>
          </v:shape>
          <o:OLEObject Type="Embed" ProgID="Excel.Sheet.12" ShapeID="ole_rId2" DrawAspect="Content" ObjectID="_312628424" r:id="rId2"/>
        </w:object>
      </w:r>
    </w:p>
    <w:p>
      <w:pPr>
        <w:pStyle w:val="Normal"/>
        <w:jc w:val="both"/>
        <w:rPr>
          <w:b/>
        </w:rPr>
      </w:pPr>
      <w:r>
        <w:rPr>
          <w:b/>
        </w:rPr>
      </w:r>
    </w:p>
    <w:p>
      <w:pPr>
        <w:pStyle w:val="Normal"/>
        <w:numPr>
          <w:ilvl w:val="0"/>
          <w:numId w:val="8"/>
        </w:numPr>
        <w:jc w:val="both"/>
        <w:rPr>
          <w:b/>
        </w:rPr>
      </w:pPr>
      <w:r>
        <w:rPr/>
        <w:t>The model could be improved if it were stated as an auto-regressive model. The analysis of the graphic of historical errors shows a strong memory process.</w:t>
      </w:r>
    </w:p>
    <w:p>
      <w:pPr>
        <w:pStyle w:val="Normal"/>
        <w:jc w:val="both"/>
        <w:rPr>
          <w:b/>
        </w:rPr>
      </w:pPr>
      <w:r>
        <w:rPr>
          <w:b/>
        </w:rPr>
        <w:object w:dxaOrig="7680" w:dyaOrig="4097">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32.4pt;margin-top:24.4pt;width:363pt;height:200.25pt;mso-wrap-distance-left:9.05pt;mso-wrap-distance-right:9.05pt;mso-position-horizontal-relative:text;mso-position-vertical-relative:text" filled="f" o:ole="">
            <v:imagedata r:id="rId5" o:title=""/>
            <w10:wrap type="topAndBottom"/>
          </v:shape>
          <o:OLEObject Type="Embed" ProgID="Excel.Sheet.12" ShapeID="ole_rId4" DrawAspect="Content" ObjectID="_1107355878" r:id="rId4"/>
        </w:objec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r>
        <w:br w:type="page"/>
      </w:r>
    </w:p>
    <w:p>
      <w:pPr>
        <w:pStyle w:val="Normal"/>
        <w:jc w:val="both"/>
        <w:rPr>
          <w:b/>
          <w:sz w:val="24"/>
          <w:u w:val="single"/>
        </w:rPr>
      </w:pPr>
      <w:r>
        <w:rPr>
          <w:b/>
          <w:sz w:val="24"/>
          <w:u w:val="single"/>
        </w:rPr>
        <w:t>3- Review of Live Model</w:t>
      </w:r>
    </w:p>
    <w:p>
      <w:pPr>
        <w:pStyle w:val="Normal"/>
        <w:jc w:val="both"/>
        <w:rPr>
          <w:b/>
          <w:sz w:val="24"/>
          <w:u w:val="single"/>
        </w:rPr>
      </w:pPr>
      <w:r>
        <w:rPr>
          <w:b/>
          <w:sz w:val="24"/>
          <w:u w:val="single"/>
        </w:rPr>
      </w:r>
    </w:p>
    <w:p>
      <w:pPr>
        <w:pStyle w:val="Normal"/>
        <w:jc w:val="both"/>
        <w:rPr/>
      </w:pPr>
      <w:r>
        <w:rPr/>
      </w:r>
    </w:p>
    <w:p>
      <w:pPr>
        <w:pStyle w:val="Normal"/>
        <w:jc w:val="both"/>
        <w:rPr/>
      </w:pPr>
      <w:r>
        <w:rPr/>
        <w:t xml:space="preserve">The main concern in this section is to verify the outputs of the Inflation Model since it went live. The model was run six times so far (31/03/2000, 11/04/2000, 16/05/2000, 15/06/2000, 28/07/2000, 03/08/2000). </w:t>
      </w:r>
    </w:p>
    <w:p>
      <w:pPr>
        <w:pStyle w:val="Normal"/>
        <w:jc w:val="both"/>
        <w:rPr/>
      </w:pPr>
      <w:r>
        <w:rPr/>
      </w:r>
    </w:p>
    <w:p>
      <w:pPr>
        <w:pStyle w:val="Normal"/>
        <w:jc w:val="both"/>
        <w:rPr/>
      </w:pPr>
      <w:r>
        <w:rPr/>
      </w:r>
    </w:p>
    <w:p>
      <w:pPr>
        <w:pStyle w:val="Normal"/>
        <w:jc w:val="both"/>
        <w:rPr/>
      </w:pPr>
      <w:r>
        <w:rPr/>
        <w:t>Two different validation procedures were conducted:</w:t>
      </w:r>
    </w:p>
    <w:p>
      <w:pPr>
        <w:pStyle w:val="Normal"/>
        <w:numPr>
          <w:ilvl w:val="0"/>
          <w:numId w:val="13"/>
        </w:numPr>
        <w:tabs>
          <w:tab w:val="left" w:pos="720" w:leader="none"/>
        </w:tabs>
        <w:ind w:hanging="360" w:start="720" w:end="0"/>
        <w:jc w:val="both"/>
        <w:rPr/>
      </w:pPr>
      <w:r>
        <w:rPr/>
        <w:t>Reconciliation of input data to live model.</w:t>
      </w:r>
    </w:p>
    <w:p>
      <w:pPr>
        <w:pStyle w:val="Normal"/>
        <w:numPr>
          <w:ilvl w:val="0"/>
          <w:numId w:val="13"/>
        </w:numPr>
        <w:tabs>
          <w:tab w:val="left" w:pos="720" w:leader="none"/>
        </w:tabs>
        <w:ind w:hanging="360" w:start="720" w:end="0"/>
        <w:jc w:val="both"/>
        <w:rPr/>
      </w:pPr>
      <w:r>
        <w:rPr/>
        <w:t>Out of the sample back-testing.</w:t>
      </w:r>
    </w:p>
    <w:p>
      <w:pPr>
        <w:pStyle w:val="Heading2"/>
        <w:ind w:hanging="0" w:start="0"/>
        <w:rPr>
          <w:sz w:val="20"/>
        </w:rPr>
      </w:pPr>
      <w:r>
        <w:rPr>
          <w:sz w:val="20"/>
        </w:rPr>
      </w:r>
    </w:p>
    <w:p>
      <w:pPr>
        <w:pStyle w:val="Normal"/>
        <w:rPr>
          <w:sz w:val="20"/>
        </w:rPr>
      </w:pPr>
      <w:r>
        <w:rPr>
          <w:sz w:val="20"/>
        </w:rPr>
      </w:r>
    </w:p>
    <w:p>
      <w:pPr>
        <w:pStyle w:val="Normal"/>
        <w:rPr/>
      </w:pPr>
      <w:r>
        <w:rPr/>
        <w:t>Due to time constraint the review was conducted on a sample basis. The selected models were RPI and PLLU short-term.</w:t>
      </w:r>
    </w:p>
    <w:p>
      <w:pPr>
        <w:pStyle w:val="Normal"/>
        <w:rPr/>
      </w:pPr>
      <w:r>
        <w:rPr/>
      </w:r>
    </w:p>
    <w:p>
      <w:pPr>
        <w:pStyle w:val="Normal"/>
        <w:rPr/>
      </w:pPr>
      <w:r>
        <w:rPr/>
      </w:r>
    </w:p>
    <w:p>
      <w:pPr>
        <w:pStyle w:val="Normal"/>
        <w:rPr/>
      </w:pPr>
      <w:r>
        <w:rPr/>
      </w:r>
    </w:p>
    <w:p>
      <w:pPr>
        <w:pStyle w:val="Heading2"/>
        <w:ind w:hanging="0" w:start="0"/>
        <w:rPr>
          <w:sz w:val="20"/>
          <w:u w:val="single"/>
        </w:rPr>
      </w:pPr>
      <w:r>
        <w:rPr>
          <w:sz w:val="20"/>
          <w:u w:val="single"/>
        </w:rPr>
        <w:t>3.1- Reconciliation of Input Data to Live Model</w:t>
      </w:r>
    </w:p>
    <w:p>
      <w:pPr>
        <w:pStyle w:val="Normal"/>
        <w:jc w:val="both"/>
        <w:rPr>
          <w:sz w:val="20"/>
          <w:u w:val="single"/>
        </w:rPr>
      </w:pPr>
      <w:r>
        <w:rPr>
          <w:sz w:val="20"/>
          <w:u w:val="single"/>
        </w:rPr>
      </w:r>
    </w:p>
    <w:p>
      <w:pPr>
        <w:pStyle w:val="Normal"/>
        <w:jc w:val="both"/>
        <w:rPr/>
      </w:pPr>
      <w:r>
        <w:rPr/>
        <w:t xml:space="preserve">The following table shows the occurrences of differences between the model input (as per the date it was run) against the official inflation indexes. </w:t>
      </w:r>
    </w:p>
    <w:p>
      <w:pPr>
        <w:pStyle w:val="Normal"/>
        <w:jc w:val="both"/>
        <w:rPr/>
      </w:pPr>
      <w:r>
        <w:rPr/>
      </w:r>
    </w:p>
    <w:p>
      <w:pPr>
        <w:pStyle w:val="Normal"/>
        <w:jc w:val="both"/>
        <w:rPr/>
      </w:pPr>
      <w:r>
        <w:rPr/>
      </w:r>
    </w:p>
    <w:p>
      <w:pPr>
        <w:pStyle w:val="Normal"/>
        <w:jc w:val="both"/>
        <w:rPr>
          <w:lang w:val="en-CA"/>
        </w:rPr>
      </w:pPr>
      <w:r>
        <w:rPr>
          <w:lang w:val="en-CA"/>
        </w:rPr>
        <w:object w:dxaOrig="7647" w:dyaOrig="2911">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position:absolute;margin-left:25.2pt;margin-top:0.6pt;width:381.6pt;height:141.95pt;mso-wrap-distance-left:9.05pt;mso-wrap-distance-right:9.05pt;mso-position-horizontal-relative:text;mso-position-vertical-relative:text" filled="f" o:ole="">
            <v:imagedata r:id="rId7" o:title=""/>
            <w10:wrap type="topAndBottom"/>
          </v:shape>
          <o:OLEObject Type="Embed" ProgID="Excel.Sheet.12" ShapeID="ole_rId6" DrawAspect="Content" ObjectID="_1742461410" r:id="rId6"/>
        </w:object>
      </w:r>
    </w:p>
    <w:p>
      <w:pPr>
        <w:pStyle w:val="Normal"/>
        <w:jc w:val="both"/>
        <w:rPr/>
      </w:pPr>
      <w:r>
        <w:rPr/>
      </w:r>
    </w:p>
    <w:p>
      <w:pPr>
        <w:pStyle w:val="Normal"/>
        <w:jc w:val="both"/>
        <w:rPr/>
      </w:pPr>
      <w:r>
        <w:rPr/>
        <w:t>The impact is minor given the deviation magnitude. The possible reasons for the differences are:</w:t>
      </w:r>
    </w:p>
    <w:p>
      <w:pPr>
        <w:pStyle w:val="Normal"/>
        <w:numPr>
          <w:ilvl w:val="0"/>
          <w:numId w:val="2"/>
        </w:numPr>
        <w:tabs>
          <w:tab w:val="left" w:pos="720" w:leader="none"/>
        </w:tabs>
        <w:ind w:hanging="360" w:start="720" w:end="0"/>
        <w:jc w:val="both"/>
        <w:rPr/>
      </w:pPr>
      <w:r>
        <w:rPr/>
        <w:t>The model was run twice prior to the official release of inflation indexes (11/04/2000, 03/08/2000);</w:t>
      </w:r>
    </w:p>
    <w:p>
      <w:pPr>
        <w:pStyle w:val="Normal"/>
        <w:numPr>
          <w:ilvl w:val="0"/>
          <w:numId w:val="2"/>
        </w:numPr>
        <w:tabs>
          <w:tab w:val="left" w:pos="720" w:leader="none"/>
        </w:tabs>
        <w:ind w:hanging="360" w:start="720" w:end="0"/>
        <w:jc w:val="both"/>
        <w:rPr/>
      </w:pPr>
      <w:r>
        <w:rPr/>
        <w:t xml:space="preserve">PPI provisional numbers are released; revisions are usual.  </w:t>
      </w:r>
    </w:p>
    <w:p>
      <w:pPr>
        <w:pStyle w:val="Normal"/>
        <w:jc w:val="both"/>
        <w:rPr/>
      </w:pPr>
      <w:r>
        <w:rPr/>
      </w:r>
    </w:p>
    <w:p>
      <w:pPr>
        <w:pStyle w:val="Normal"/>
        <w:jc w:val="both"/>
        <w:rPr/>
      </w:pPr>
      <w:r>
        <w:rPr/>
      </w:r>
    </w:p>
    <w:p>
      <w:pPr>
        <w:pStyle w:val="Normal"/>
        <w:jc w:val="both"/>
        <w:rPr/>
      </w:pPr>
      <w:r>
        <w:rPr/>
        <w:t>It is a responsibility of the owner of the model to guarantee input data is accurate and to maintain a record of any events that might affect the historical time series.</w:t>
      </w:r>
    </w:p>
    <w:p>
      <w:pPr>
        <w:pStyle w:val="Normal"/>
        <w:jc w:val="both"/>
        <w:rPr/>
      </w:pPr>
      <w:r>
        <w:rPr/>
      </w:r>
      <w:r>
        <w:br w:type="page"/>
      </w:r>
    </w:p>
    <w:p>
      <w:pPr>
        <w:pStyle w:val="Normal"/>
        <w:jc w:val="both"/>
        <w:rPr>
          <w:u w:val="single"/>
        </w:rPr>
      </w:pPr>
      <w:r>
        <w:rPr>
          <w:b/>
          <w:u w:val="single"/>
        </w:rPr>
        <w:t>3.2- Out of the sample Backtesting</w:t>
      </w:r>
    </w:p>
    <w:p>
      <w:pPr>
        <w:pStyle w:val="Normal"/>
        <w:jc w:val="both"/>
        <w:rPr>
          <w:u w:val="single"/>
        </w:rPr>
      </w:pPr>
      <w:r>
        <w:rPr>
          <w:u w:val="single"/>
        </w:rPr>
      </w:r>
    </w:p>
    <w:p>
      <w:pPr>
        <w:pStyle w:val="Normal"/>
        <w:jc w:val="both"/>
        <w:rPr/>
      </w:pPr>
      <w:r>
        <w:object w:dxaOrig="10472" w:dyaOrig="6121">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position:absolute;margin-left:-39.6pt;margin-top:43.2pt;width:522.6pt;height:301.8pt;mso-wrap-distance-left:9.05pt;mso-wrap-distance-right:9.05pt;mso-position-horizontal-relative:text;mso-position-vertical-relative:text" filled="f" o:ole="">
            <v:imagedata r:id="rId9" o:title=""/>
            <w10:wrap type="topAndBottom"/>
          </v:shape>
          <o:OLEObject Type="Embed" ProgID="Excel.Sheet.12" ShapeID="ole_rId8" DrawAspect="Content" ObjectID="_1922447377" r:id="rId8"/>
        </w:object>
      </w:r>
      <w:r>
        <w:rPr/>
        <w:t>The following table shows how the forecast deviated from the realised inflation indexes. It is the ultimate test to verify if a model deliver to its expectations.</w:t>
      </w:r>
    </w:p>
    <w:p>
      <w:pPr>
        <w:pStyle w:val="Normal"/>
        <w:jc w:val="both"/>
        <w:rPr/>
      </w:pPr>
      <w:r>
        <w:rPr/>
      </w:r>
    </w:p>
    <w:p>
      <w:pPr>
        <w:pStyle w:val="Normal"/>
        <w:jc w:val="both"/>
        <w:rPr/>
      </w:pPr>
      <w:r>
        <w:rPr/>
      </w:r>
    </w:p>
    <w:p>
      <w:pPr>
        <w:pStyle w:val="Normal"/>
        <w:jc w:val="both"/>
        <w:rPr/>
      </w:pPr>
      <w:r>
        <w:rPr/>
      </w:r>
    </w:p>
    <w:p>
      <w:pPr>
        <w:pStyle w:val="Normal"/>
        <w:jc w:val="both"/>
        <w:rPr/>
      </w:pPr>
      <w:r>
        <w:rPr/>
        <w:t>The relative deviation is the ratio of the absolute deviation to the realised inflation. It represents a normalised deviation metric. It allows for the comparison of a 1% absolute deviation from a 7% index to a 1% absolute deviation from a 2% index.</w:t>
      </w:r>
    </w:p>
    <w:p>
      <w:pPr>
        <w:pStyle w:val="Normal"/>
        <w:jc w:val="both"/>
        <w:rPr/>
      </w:pPr>
      <w:r>
        <w:rPr/>
      </w:r>
    </w:p>
    <w:p>
      <w:pPr>
        <w:pStyle w:val="Normal"/>
        <w:jc w:val="both"/>
        <w:rPr/>
      </w:pPr>
      <w:r>
        <w:object w:dxaOrig="3043" w:dyaOrig="766">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position:absolute;margin-left:111.6pt;margin-top:25.2pt;width:152.55pt;height:40.2pt;mso-wrap-distance-left:9.05pt;mso-wrap-distance-right:9.05pt;mso-position-horizontal-relative:text;mso-position-vertical-relative:text" filled="f" o:ole="">
            <v:imagedata r:id="rId11" o:title=""/>
            <w10:wrap type="topAndBottom"/>
          </v:shape>
          <o:OLEObject Type="Embed" ProgID="Excel.Sheet.12" ShapeID="ole_rId10" DrawAspect="Content" ObjectID="_1202450496" r:id="rId10"/>
        </w:object>
      </w:r>
      <w:r>
        <w:rPr/>
        <w:t>The following table shows the average and standard deviation of the relative deviation for RPI and PPI. These statistics were calculated using the data from the table shown above.</w:t>
      </w:r>
    </w:p>
    <w:p>
      <w:pPr>
        <w:pStyle w:val="Normal"/>
        <w:jc w:val="both"/>
        <w:rPr/>
      </w:pPr>
      <w:r>
        <w:rPr/>
      </w:r>
    </w:p>
    <w:p>
      <w:pPr>
        <w:pStyle w:val="Normal"/>
        <w:jc w:val="both"/>
        <w:rPr/>
      </w:pPr>
      <w:r>
        <w:rPr/>
        <w:t>The RPI forecast is expected to underestimate the realised RPI (-10.08%), the deviation volatility is 27.16%.  The maximum historical deviation was –44.36%. This result was expected.</w:t>
      </w:r>
    </w:p>
    <w:p>
      <w:pPr>
        <w:pStyle w:val="Normal"/>
        <w:jc w:val="both"/>
        <w:rPr/>
      </w:pPr>
      <w:r>
        <w:rPr/>
      </w:r>
    </w:p>
    <w:p>
      <w:pPr>
        <w:pStyle w:val="Normal"/>
        <w:jc w:val="both"/>
        <w:rPr/>
      </w:pPr>
      <w:r>
        <w:rPr/>
        <w:t>The PPI forecast is expected to underestimate the realised PPI (-14.15%), the deviation volatility is 18.26%.  The maximum historical deviation was –37.11%.</w:t>
      </w:r>
    </w:p>
    <w:p>
      <w:pPr>
        <w:pStyle w:val="Normal"/>
        <w:jc w:val="both"/>
        <w:rPr/>
      </w:pPr>
      <w:r>
        <w:rPr/>
      </w:r>
    </w:p>
    <w:p>
      <w:pPr>
        <w:pStyle w:val="Normal"/>
        <w:jc w:val="both"/>
        <w:rPr/>
      </w:pPr>
      <w:r>
        <w:rPr/>
        <w:t>The out of the sample backtesting suggests further research investigation to obtain a more accurate inflation model.</w:t>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bullet"/>
      <w:lvlText w:val="-"/>
      <w:lvlJc w:val="start"/>
      <w:pPr>
        <w:tabs>
          <w:tab w:val="num" w:pos="360"/>
        </w:tabs>
        <w:ind w:start="360" w:hanging="360"/>
      </w:pPr>
      <w:rPr>
        <w:rFonts w:ascii="Liberation Serif" w:hAnsi="Liberation Serif" w:cs="Liberation Serif"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360"/>
        </w:tabs>
        <w:ind w:start="360" w:hanging="360"/>
      </w:pPr>
    </w:lvl>
  </w:abstractNum>
  <w:abstractNum w:abstractNumId="13">
    <w:lvl w:ilvl="0">
      <w:start w:val="2"/>
      <w:numFmt w:val="bullet"/>
      <w:lvlText w:val="-"/>
      <w:lvlJc w:val="start"/>
      <w:pPr>
        <w:tabs>
          <w:tab w:val="num" w:pos="360"/>
        </w:tabs>
        <w:ind w:start="360" w:hanging="360"/>
      </w:pPr>
      <w:rPr>
        <w:rFonts w:ascii="Liberation Serif" w:hAnsi="Liberation Serif" w:cs="Liberation Serif"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decimal"/>
      <w:lvlText w:val="%1."/>
      <w:lvlJc w:val="start"/>
      <w:pPr>
        <w:tabs>
          <w:tab w:val="num" w:pos="360"/>
        </w:tabs>
        <w:ind w:start="360" w:hanging="360"/>
      </w:p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90"/>
  <w:defaultTabStop w:val="709"/>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outlineLvl w:val="0"/>
    </w:pPr>
    <w:rPr>
      <w:b/>
      <w:sz w:val="28"/>
    </w:rPr>
  </w:style>
  <w:style w:type="paragraph" w:styleId="Heading2">
    <w:name w:val="heading 2"/>
    <w:basedOn w:val="Normal"/>
    <w:next w:val="Normal"/>
    <w:qFormat/>
    <w:pPr>
      <w:keepNext w:val="true"/>
      <w:numPr>
        <w:ilvl w:val="1"/>
        <w:numId w:val="1"/>
      </w:numPr>
      <w:jc w:val="both"/>
      <w:outlineLvl w:val="1"/>
    </w:pPr>
    <w:rPr>
      <w:b/>
      <w:sz w:val="28"/>
    </w:rPr>
  </w:style>
  <w:style w:type="paragraph" w:styleId="Heading3">
    <w:name w:val="heading 3"/>
    <w:basedOn w:val="Normal"/>
    <w:next w:val="Normal"/>
    <w:qFormat/>
    <w:pPr>
      <w:keepNext w:val="true"/>
      <w:numPr>
        <w:ilvl w:val="2"/>
        <w:numId w:val="1"/>
      </w:numPr>
      <w:jc w:val="both"/>
      <w:outlineLvl w:val="2"/>
    </w:pPr>
    <w:rPr>
      <w:b/>
      <w:sz w:val="24"/>
    </w:rPr>
  </w:style>
  <w:style w:type="paragraph" w:styleId="Heading4">
    <w:name w:val="heading 4"/>
    <w:basedOn w:val="Normal"/>
    <w:next w:val="Normal"/>
    <w:qFormat/>
    <w:pPr>
      <w:keepNext w:val="true"/>
      <w:numPr>
        <w:ilvl w:val="3"/>
        <w:numId w:val="1"/>
      </w:numPr>
      <w:jc w:val="both"/>
      <w:outlineLvl w:val="3"/>
    </w:pPr>
    <w:rPr>
      <w:b/>
      <w:sz w:val="28"/>
      <w:u w:val="single"/>
    </w:rPr>
  </w:style>
  <w:style w:type="paragraph" w:styleId="Heading5">
    <w:name w:val="heading 5"/>
    <w:basedOn w:val="Normal"/>
    <w:next w:val="Normal"/>
    <w:qFormat/>
    <w:pPr>
      <w:keepNext w:val="true"/>
      <w:numPr>
        <w:ilvl w:val="4"/>
        <w:numId w:val="1"/>
      </w:numPr>
      <w:jc w:val="both"/>
      <w:outlineLvl w:val="4"/>
    </w:pPr>
    <w:rPr>
      <w:b/>
      <w:u w:val="single"/>
    </w:rPr>
  </w:style>
  <w:style w:type="paragraph" w:styleId="Heading6">
    <w:name w:val="heading 6"/>
    <w:basedOn w:val="Normal"/>
    <w:next w:val="Normal"/>
    <w:qFormat/>
    <w:pPr>
      <w:keepNext w:val="true"/>
      <w:numPr>
        <w:ilvl w:val="5"/>
        <w:numId w:val="1"/>
      </w:numPr>
      <w:ind w:hanging="0" w:start="360" w:end="0"/>
      <w:jc w:val="both"/>
      <w:outlineLvl w:val="5"/>
    </w:pPr>
    <w:rPr>
      <w:b/>
      <w:u w:val="single"/>
    </w:rPr>
  </w:style>
  <w:style w:type="paragraph" w:styleId="Heading7">
    <w:name w:val="heading 7"/>
    <w:basedOn w:val="Normal"/>
    <w:next w:val="Normal"/>
    <w:qFormat/>
    <w:pPr>
      <w:keepNext w:val="true"/>
      <w:numPr>
        <w:ilvl w:val="6"/>
        <w:numId w:val="1"/>
      </w:numPr>
      <w:ind w:firstLine="360" w:start="0" w:end="0"/>
      <w:jc w:val="both"/>
      <w:outlineLvl w:val="6"/>
    </w:pPr>
    <w:rPr>
      <w:b/>
      <w:u w:val="single"/>
    </w:rPr>
  </w:style>
  <w:style w:type="paragraph" w:styleId="Heading8">
    <w:name w:val="heading 8"/>
    <w:basedOn w:val="Normal"/>
    <w:next w:val="Normal"/>
    <w:qFormat/>
    <w:pPr>
      <w:keepNext w:val="true"/>
      <w:numPr>
        <w:ilvl w:val="7"/>
        <w:numId w:val="1"/>
      </w:numPr>
      <w:jc w:val="both"/>
      <w:outlineLvl w:val="7"/>
    </w:pPr>
    <w:rPr>
      <w:u w:val="single"/>
    </w:rPr>
  </w:style>
  <w:style w:type="character" w:styleId="WW8Num1z0">
    <w:name w:val="WW8Num1z0"/>
    <w:qFormat/>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4z0">
    <w:name w:val="WW8Num44z0"/>
    <w:qFormat/>
    <w:rPr/>
  </w:style>
  <w:style w:type="character" w:styleId="WW8Num45z0">
    <w:name w:val="WW8Num45z0"/>
    <w:qFormat/>
    <w:rPr>
      <w:rFonts w:ascii="Symbol" w:hAnsi="Symbol" w:cs="Symbol"/>
    </w:rPr>
  </w:style>
  <w:style w:type="character" w:styleId="WW8Num47z0">
    <w:name w:val="WW8Num47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package" Target="embeddings/oleObject2.xlsx"/><Relationship Id="rId5" Type="http://schemas.openxmlformats.org/officeDocument/2006/relationships/image" Target="media/image2.wmf"/><Relationship Id="rId6" Type="http://schemas.openxmlformats.org/officeDocument/2006/relationships/package" Target="embeddings/oleObject3.xlsx"/><Relationship Id="rId7" Type="http://schemas.openxmlformats.org/officeDocument/2006/relationships/image" Target="media/image3.wmf"/><Relationship Id="rId8" Type="http://schemas.openxmlformats.org/officeDocument/2006/relationships/package" Target="embeddings/oleObject4.xlsx"/><Relationship Id="rId9" Type="http://schemas.openxmlformats.org/officeDocument/2006/relationships/image" Target="media/image4.wmf"/><Relationship Id="rId10" Type="http://schemas.openxmlformats.org/officeDocument/2006/relationships/package" Target="embeddings/oleObject5.xlsx"/><Relationship Id="rId11" Type="http://schemas.openxmlformats.org/officeDocument/2006/relationships/image" Target="media/image5.wmf"/><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2000-10-17T12:47:00Z</dcterms:created>
  <dc:creator>rlamas</dc:creator>
  <dc:description/>
  <dc:language>en-CA</dc:language>
  <cp:lastModifiedBy>rlamas</cp:lastModifiedBy>
  <cp:lastPrinted>2000-10-17T15:55:00Z</cp:lastPrinted>
  <dcterms:modified xsi:type="dcterms:W3CDTF">2000-10-24T14:46:00Z</dcterms:modified>
  <cp:revision>6</cp:revision>
  <dc:subject/>
  <dc:title>Input Data Integrity</dc:title>
</cp:coreProperties>
</file>