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5950"/>
        <w:gridCol w:w="1085"/>
        <w:gridCol w:w="2965"/>
      </w:tblGrid>
      <w:tr>
        <w:trPr>
          <w:trHeight w:val="1890" w:hRule="exact"/>
        </w:trPr>
        <w:tc>
          <w:tcPr>
            <w:tcW w:w="708" w:type="dxa"/>
            <w:tcBorders/>
          </w:tcPr>
          <w:p>
            <w:pPr>
              <w:pStyle w:val="Normal"/>
              <w:ind w:start="-180" w:end="0"/>
              <w:jc w:val="end"/>
              <w:rPr>
                <w:sz w:val="16"/>
              </w:rPr>
            </w:pPr>
            <w:r>
              <w:rPr>
                <w:sz w:val="16"/>
              </w:rPr>
              <w:t>To:</w:t>
            </w:r>
          </w:p>
        </w:tc>
        <w:tc>
          <w:tcPr>
            <w:tcW w:w="5950" w:type="dxa"/>
            <w:tcBorders/>
          </w:tcPr>
          <w:p>
            <w:pPr>
              <w:pStyle w:val="To"/>
              <w:rPr>
                <w:rFonts w:ascii="Helv" w:hAnsi="Helv" w:cs="Helv"/>
                <w:color w:val="000000"/>
                <w:lang w:eastAsia="en-US"/>
              </w:rPr>
            </w:pPr>
            <w:bookmarkStart w:id="0" w:name="to"/>
            <w:bookmarkEnd w:id="0"/>
            <w:r>
              <w:rPr>
                <w:rFonts w:cs="Helv" w:ascii="Helv" w:hAnsi="Helv"/>
                <w:color w:val="000000"/>
                <w:lang w:eastAsia="en-US"/>
              </w:rPr>
              <w:t>Sally Beck</w:t>
            </w:r>
          </w:p>
          <w:p>
            <w:pPr>
              <w:pStyle w:val="To"/>
              <w:rPr>
                <w:rFonts w:ascii="Helv" w:hAnsi="Helv" w:cs="Helv"/>
                <w:color w:val="000000"/>
                <w:lang w:eastAsia="en-US"/>
              </w:rPr>
            </w:pPr>
            <w:r>
              <w:rPr>
                <w:rFonts w:cs="Helv" w:ascii="Helv" w:hAnsi="Helv"/>
                <w:color w:val="000000"/>
                <w:lang w:eastAsia="en-US"/>
              </w:rPr>
              <w:t>Philippe Bibi</w:t>
            </w:r>
          </w:p>
          <w:p>
            <w:pPr>
              <w:pStyle w:val="To"/>
              <w:rPr>
                <w:rFonts w:ascii="Helv" w:hAnsi="Helv" w:cs="Helv"/>
                <w:color w:val="000000"/>
                <w:lang w:eastAsia="en-US"/>
              </w:rPr>
            </w:pPr>
            <w:r>
              <w:rPr>
                <w:rFonts w:cs="Helv" w:ascii="Helv" w:hAnsi="Helv"/>
                <w:color w:val="000000"/>
                <w:lang w:eastAsia="en-US"/>
              </w:rPr>
              <w:t>Debbie Brackett</w:t>
            </w:r>
          </w:p>
          <w:p>
            <w:pPr>
              <w:pStyle w:val="To"/>
              <w:rPr>
                <w:rFonts w:ascii="Helv" w:hAnsi="Helv" w:cs="Helv"/>
                <w:color w:val="000000"/>
                <w:lang w:eastAsia="en-US"/>
              </w:rPr>
            </w:pPr>
            <w:r>
              <w:rPr>
                <w:rFonts w:cs="Helv" w:ascii="Helv" w:hAnsi="Helv"/>
                <w:color w:val="000000"/>
                <w:lang w:eastAsia="en-US"/>
              </w:rPr>
              <w:t>Bill Bradford</w:t>
            </w:r>
          </w:p>
          <w:p>
            <w:pPr>
              <w:pStyle w:val="To"/>
              <w:rPr>
                <w:rFonts w:ascii="Helv" w:hAnsi="Helv" w:cs="Helv"/>
                <w:color w:val="000000"/>
                <w:lang w:eastAsia="en-US"/>
              </w:rPr>
            </w:pPr>
            <w:r>
              <w:rPr>
                <w:rFonts w:cs="Helv" w:ascii="Helv" w:hAnsi="Helv"/>
                <w:color w:val="000000"/>
                <w:lang w:eastAsia="en-US"/>
              </w:rPr>
              <w:t>Mike Jordan</w:t>
            </w:r>
          </w:p>
          <w:p>
            <w:pPr>
              <w:pStyle w:val="To"/>
              <w:rPr>
                <w:rFonts w:ascii="Helv" w:hAnsi="Helv" w:cs="Helv"/>
                <w:color w:val="000000"/>
                <w:lang w:eastAsia="en-US"/>
              </w:rPr>
            </w:pPr>
            <w:r>
              <w:rPr>
                <w:rFonts w:cs="Helv" w:ascii="Helv" w:hAnsi="Helv"/>
                <w:color w:val="000000"/>
                <w:lang w:eastAsia="en-US"/>
              </w:rPr>
              <w:t>Vince Kaminski</w:t>
            </w:r>
          </w:p>
          <w:p>
            <w:pPr>
              <w:pStyle w:val="To"/>
              <w:rPr>
                <w:rFonts w:ascii="Helv" w:hAnsi="Helv" w:cs="Helv"/>
                <w:color w:val="000000"/>
                <w:lang w:eastAsia="en-US"/>
              </w:rPr>
            </w:pPr>
            <w:r>
              <w:rPr>
                <w:rFonts w:cs="Helv" w:ascii="Helv" w:hAnsi="Helv"/>
                <w:color w:val="000000"/>
                <w:lang w:eastAsia="en-US"/>
              </w:rPr>
              <w:t>Ted Murphy</w:t>
            </w:r>
          </w:p>
        </w:tc>
        <w:tc>
          <w:tcPr>
            <w:tcW w:w="1085" w:type="dxa"/>
            <w:tcBorders/>
          </w:tcPr>
          <w:p>
            <w:pPr>
              <w:pStyle w:val="Normal"/>
              <w:snapToGrid w:val="false"/>
              <w:ind w:start="-180" w:end="0"/>
              <w:rPr/>
            </w:pPr>
            <w:r>
              <w:rPr/>
            </w:r>
          </w:p>
        </w:tc>
        <w:tc>
          <w:tcPr>
            <w:tcW w:w="2965" w:type="dxa"/>
            <w:tcBorders/>
          </w:tcPr>
          <w:p>
            <w:pPr>
              <w:pStyle w:val="Normal"/>
              <w:snapToGrid w:val="false"/>
              <w:rPr/>
            </w:pPr>
            <w:r>
              <w:rPr/>
            </w:r>
          </w:p>
        </w:tc>
      </w:tr>
      <w:tr>
        <w:trPr>
          <w:trHeight w:val="180" w:hRule="exact"/>
        </w:trPr>
        <w:tc>
          <w:tcPr>
            <w:tcW w:w="708" w:type="dxa"/>
            <w:tcBorders/>
          </w:tcPr>
          <w:p>
            <w:pPr>
              <w:pStyle w:val="Normal"/>
              <w:snapToGrid w:val="false"/>
              <w:ind w:start="-180" w:end="0"/>
              <w:jc w:val="end"/>
              <w:rPr>
                <w:sz w:val="18"/>
              </w:rPr>
            </w:pPr>
            <w:r>
              <w:rPr>
                <w:sz w:val="18"/>
              </w:rPr>
            </w:r>
          </w:p>
        </w:tc>
        <w:tc>
          <w:tcPr>
            <w:tcW w:w="5950" w:type="dxa"/>
            <w:tcBorders/>
          </w:tcPr>
          <w:p>
            <w:pPr>
              <w:pStyle w:val="Normal"/>
              <w:snapToGrid w:val="false"/>
              <w:rPr>
                <w:sz w:val="18"/>
              </w:rPr>
            </w:pPr>
            <w:r>
              <w:rPr>
                <w:sz w:val="18"/>
              </w:rPr>
            </w:r>
          </w:p>
        </w:tc>
        <w:tc>
          <w:tcPr>
            <w:tcW w:w="1085"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1260" w:hRule="exact"/>
        </w:trPr>
        <w:tc>
          <w:tcPr>
            <w:tcW w:w="708" w:type="dxa"/>
            <w:tcBorders/>
          </w:tcPr>
          <w:p>
            <w:pPr>
              <w:pStyle w:val="Normal"/>
              <w:ind w:start="-180" w:end="0"/>
              <w:rPr>
                <w:sz w:val="16"/>
              </w:rPr>
            </w:pPr>
            <w:r>
              <w:rPr>
                <w:sz w:val="16"/>
              </w:rPr>
              <w:t>FCC:</w:t>
            </w:r>
          </w:p>
          <w:p>
            <w:pPr>
              <w:pStyle w:val="Normal"/>
              <w:ind w:start="-180" w:end="0"/>
              <w:rPr>
                <w:sz w:val="16"/>
              </w:rPr>
            </w:pPr>
            <w:r>
              <w:rPr>
                <w:sz w:val="16"/>
              </w:rPr>
            </w:r>
          </w:p>
          <w:p>
            <w:pPr>
              <w:pStyle w:val="Normal"/>
              <w:ind w:start="-180" w:end="0"/>
              <w:rPr>
                <w:sz w:val="16"/>
              </w:rPr>
            </w:pPr>
            <w:r>
              <w:rPr>
                <w:sz w:val="16"/>
              </w:rPr>
              <w:t>F</w:t>
            </w:r>
          </w:p>
          <w:p>
            <w:pPr>
              <w:pStyle w:val="Normal"/>
              <w:ind w:start="-180" w:end="0"/>
              <w:rPr>
                <w:sz w:val="16"/>
              </w:rPr>
            </w:pPr>
            <w:r>
              <w:rPr>
                <w:sz w:val="16"/>
              </w:rPr>
            </w:r>
          </w:p>
          <w:p>
            <w:pPr>
              <w:pStyle w:val="Normal"/>
              <w:ind w:start="-180" w:end="0"/>
              <w:rPr>
                <w:sz w:val="16"/>
              </w:rPr>
            </w:pPr>
            <w:r>
              <w:rPr>
                <w:sz w:val="16"/>
              </w:rPr>
            </w:r>
          </w:p>
          <w:p>
            <w:pPr>
              <w:pStyle w:val="Normal"/>
              <w:ind w:start="-180" w:end="0"/>
              <w:rPr>
                <w:sz w:val="16"/>
              </w:rPr>
            </w:pPr>
            <w:r>
              <w:rPr>
                <w:sz w:val="16"/>
              </w:rPr>
              <w:t>FFrom:</w:t>
            </w:r>
          </w:p>
        </w:tc>
        <w:tc>
          <w:tcPr>
            <w:tcW w:w="5950" w:type="dxa"/>
            <w:tcBorders/>
          </w:tcPr>
          <w:p>
            <w:pPr>
              <w:pStyle w:val="From"/>
              <w:rPr/>
            </w:pPr>
            <w:r>
              <w:rPr/>
              <w:t>John Lavorato</w:t>
            </w:r>
          </w:p>
          <w:p>
            <w:pPr>
              <w:pStyle w:val="From"/>
              <w:rPr/>
            </w:pPr>
            <w:r>
              <w:rPr/>
              <w:t>Mike McConnell</w:t>
            </w:r>
          </w:p>
          <w:p>
            <w:pPr>
              <w:pStyle w:val="From"/>
              <w:rPr/>
            </w:pPr>
            <w:r>
              <w:rPr/>
              <w:t>John Sherriff</w:t>
            </w:r>
          </w:p>
          <w:p>
            <w:pPr>
              <w:pStyle w:val="From"/>
              <w:rPr/>
            </w:pPr>
            <w:r>
              <w:rPr/>
            </w:r>
          </w:p>
          <w:p>
            <w:pPr>
              <w:pStyle w:val="From"/>
              <w:rPr/>
            </w:pPr>
            <w:r>
              <w:rPr/>
              <w:t>Rick Buy</w:t>
            </w:r>
          </w:p>
        </w:tc>
        <w:tc>
          <w:tcPr>
            <w:tcW w:w="1085"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tc>
        <w:tc>
          <w:tcPr>
            <w:tcW w:w="5950" w:type="dxa"/>
            <w:tcBorders/>
          </w:tcPr>
          <w:p>
            <w:pPr>
              <w:pStyle w:val="Normal"/>
              <w:snapToGrid w:val="false"/>
              <w:rPr>
                <w:sz w:val="18"/>
              </w:rPr>
            </w:pPr>
            <w:r>
              <w:rPr>
                <w:sz w:val="18"/>
              </w:rPr>
            </w:r>
          </w:p>
        </w:tc>
        <w:tc>
          <w:tcPr>
            <w:tcW w:w="1085"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5950" w:type="dxa"/>
            <w:tcBorders>
              <w:bottom w:val="single" w:sz="18" w:space="0" w:color="000000"/>
            </w:tcBorders>
          </w:tcPr>
          <w:p>
            <w:pPr>
              <w:pStyle w:val="Subject"/>
              <w:rPr/>
            </w:pPr>
            <w:bookmarkStart w:id="3" w:name="Subject"/>
            <w:bookmarkEnd w:id="3"/>
            <w:r>
              <w:rPr/>
              <w:t>RAC IT Improvement Projects</w:t>
            </w:r>
          </w:p>
        </w:tc>
        <w:tc>
          <w:tcPr>
            <w:tcW w:w="1085"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p>
    <w:p>
      <w:pPr>
        <w:pStyle w:val="Body"/>
        <w:rPr/>
      </w:pPr>
      <w:r>
        <w:rPr/>
      </w:r>
      <w:bookmarkStart w:id="4" w:name="StartOfMemo"/>
      <w:bookmarkStart w:id="5" w:name="StartOfMemo"/>
      <w:bookmarkEnd w:id="5"/>
    </w:p>
    <w:p>
      <w:pPr>
        <w:pStyle w:val="Body"/>
        <w:rPr/>
      </w:pPr>
      <w:r>
        <w:rPr/>
      </w:r>
    </w:p>
    <w:p>
      <w:pPr>
        <w:pStyle w:val="Normal"/>
        <w:spacing w:lineRule="atLeast" w:line="240"/>
        <w:jc w:val="both"/>
        <w:rPr>
          <w:rFonts w:ascii="Helv" w:hAnsi="Helv" w:cs="Helv"/>
          <w:color w:val="000000"/>
          <w:lang w:eastAsia="en-US"/>
        </w:rPr>
      </w:pPr>
      <w:r>
        <w:rPr>
          <w:rFonts w:cs="Helv" w:ascii="Helv" w:hAnsi="Helv"/>
          <w:color w:val="000000"/>
          <w:lang w:eastAsia="en-US"/>
        </w:rPr>
        <w:t>Debbie Brackett in RAC will be contacting you shortly to schedule a critical meeting to:</w:t>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BodyTextIndent"/>
        <w:jc w:val="both"/>
        <w:rPr/>
      </w:pPr>
      <w:r>
        <w:rPr/>
        <w:t>i)</w:t>
        <w:tab/>
        <w:t xml:space="preserve">Identify near term IT projects that improve VAR, position, P&amp;L and credit reporting firm wide. Issues around these topics are causing major problems for us and will not be resolved unless we receive a lot of cross organisational commitment to fix them. The current state of affairs is unacceptable. We are stressing our systems and people to the breaking point as we take larger and larger positions in volatile markets. It willnot get better by itself. </w:t>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Normal"/>
        <w:tabs>
          <w:tab w:val="clear" w:pos="540"/>
          <w:tab w:val="left" w:pos="360" w:leader="none"/>
        </w:tabs>
        <w:spacing w:lineRule="atLeast" w:line="240"/>
        <w:jc w:val="both"/>
        <w:rPr>
          <w:rFonts w:ascii="Helv" w:hAnsi="Helv" w:cs="Helv"/>
          <w:color w:val="000000"/>
          <w:lang w:eastAsia="en-US"/>
        </w:rPr>
      </w:pPr>
      <w:r>
        <w:rPr>
          <w:rFonts w:cs="Helv" w:ascii="Helv" w:hAnsi="Helv"/>
          <w:color w:val="000000"/>
          <w:lang w:eastAsia="en-US"/>
        </w:rPr>
        <w:t xml:space="preserve">ii) </w:t>
        <w:tab/>
        <w:t>Identify the team and resources necessary to quickly implement the projects identified above.</w:t>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Normal"/>
        <w:spacing w:lineRule="atLeast" w:line="240"/>
        <w:jc w:val="both"/>
        <w:rPr>
          <w:rFonts w:ascii="Helv" w:hAnsi="Helv" w:cs="Helv"/>
          <w:color w:val="000000"/>
          <w:lang w:eastAsia="en-US"/>
        </w:rPr>
      </w:pPr>
      <w:r>
        <w:rPr>
          <w:rFonts w:cs="Helv" w:ascii="Helv" w:hAnsi="Helv"/>
          <w:color w:val="000000"/>
          <w:lang w:eastAsia="en-US"/>
        </w:rPr>
        <w:t>Philippe and I have committed to make this effort a priority and hope you will as well.</w:t>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Body"/>
        <w:ind w:start="0" w:end="0"/>
        <w:rPr>
          <w:sz w:val="24"/>
        </w:rPr>
      </w:pPr>
      <w:r>
        <w:rPr>
          <w:rFonts w:cs="Helv" w:ascii="Helv" w:hAnsi="Helv"/>
          <w:color w:val="000000"/>
          <w:sz w:val="24"/>
          <w:lang w:eastAsia="en-US"/>
        </w:rPr>
        <w:t>Rick</w:t>
      </w:r>
    </w:p>
    <w:p>
      <w:pPr>
        <w:pStyle w:val="Body"/>
        <w:rPr>
          <w:sz w:val="24"/>
        </w:rPr>
      </w:pPr>
      <w:r>
        <w:rPr>
          <w:sz w:val="24"/>
        </w:rPr>
      </w:r>
    </w:p>
    <w:p>
      <w:pPr>
        <w:pStyle w:val="Body"/>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 w:val="left" w:pos="360" w:leader="none"/>
      </w:tabs>
      <w:spacing w:lineRule="atLeast" w:line="240"/>
      <w:ind w:hanging="360" w:start="360" w:end="0"/>
    </w:pPr>
    <w:rPr>
      <w:rFonts w:ascii="Helv" w:hAnsi="Helv" w:cs="Helv"/>
      <w:color w:val="00000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2000-09-07T18:17:00Z</dcterms:created>
  <dc:creator>dyoungb</dc:creator>
  <dc:description/>
  <dc:language>en-CA</dc:language>
  <cp:lastModifiedBy>Jo Corbitt</cp:lastModifiedBy>
  <cp:lastPrinted>2000-09-07T15:47:00Z</cp:lastPrinted>
  <dcterms:modified xsi:type="dcterms:W3CDTF">2000-09-07T19:03:00Z</dcterms:modified>
  <cp:revision>5</cp:revision>
  <dc:subject/>
  <dc:title>Better, Faster, Simpler Memo </dc:title>
</cp:coreProperties>
</file>