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9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129"/>
        <w:gridCol w:w="1711"/>
        <w:gridCol w:w="2250"/>
      </w:tblGrid>
      <w:tr>
        <w:trPr>
          <w:trHeight w:val="30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ind w:start="-180" w:end="-48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</w:r>
          </w:p>
        </w:tc>
        <w:tc>
          <w:tcPr>
            <w:tcW w:w="5129" w:type="dxa"/>
            <w:tcBorders/>
          </w:tcPr>
          <w:p>
            <w:pPr>
              <w:pStyle w:val="To"/>
              <w:ind w:start="8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Lisa Mellencamp, Marcus Nettelton, Carol St. Clair, Mary Cook, Peter Keohane, Ed Essandoh, Paul Darmitzel, Michael Tribolet and Bill Bradford</w:t>
            </w:r>
          </w:p>
        </w:tc>
        <w:tc>
          <w:tcPr>
            <w:tcW w:w="1711" w:type="dxa"/>
            <w:tcBorders/>
          </w:tcPr>
          <w:p>
            <w:pPr>
              <w:pStyle w:val="Normal"/>
              <w:ind w:start="-180" w:end="-93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</w:r>
          </w:p>
        </w:tc>
        <w:tc>
          <w:tcPr>
            <w:tcW w:w="2250" w:type="dxa"/>
            <w:tcBorders/>
          </w:tcPr>
          <w:p>
            <w:pPr>
              <w:pStyle w:val="To"/>
              <w:ind w:start="8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15, 2001</w:t>
            </w:r>
          </w:p>
        </w:tc>
      </w:tr>
      <w:tr>
        <w:trPr>
          <w:trHeight w:val="30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snapToGrid w:val="false"/>
              <w:ind w:start="-180" w:end="-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29" w:type="dxa"/>
            <w:tcBorders/>
          </w:tcPr>
          <w:p>
            <w:pPr>
              <w:pStyle w:val="To"/>
              <w:snapToGrid w:val="false"/>
              <w:ind w:start="8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961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mallCaps/>
                <w:sz w:val="24"/>
              </w:rPr>
            </w:pPr>
            <w:r>
              <w:rPr>
                <w:rFonts w:cs="Times New Roman" w:ascii="Times New Roman" w:hAnsi="Times New Roman"/>
                <w:b/>
                <w:smallCaps/>
                <w:sz w:val="24"/>
              </w:rPr>
            </w:r>
          </w:p>
        </w:tc>
      </w:tr>
      <w:tr>
        <w:trPr>
          <w:trHeight w:val="27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ind w:start="-180" w:end="-48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</w:r>
          </w:p>
        </w:tc>
        <w:tc>
          <w:tcPr>
            <w:tcW w:w="5129" w:type="dxa"/>
            <w:tcBorders/>
          </w:tcPr>
          <w:p>
            <w:pPr>
              <w:pStyle w:val="From"/>
              <w:ind w:start="8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Elizabeth Sager</w:t>
            </w:r>
          </w:p>
        </w:tc>
        <w:tc>
          <w:tcPr>
            <w:tcW w:w="1711" w:type="dxa"/>
            <w:tcBorders/>
          </w:tcPr>
          <w:p>
            <w:pPr>
              <w:pStyle w:val="Normal"/>
              <w:snapToGrid w:val="false"/>
              <w:ind w:start="-180" w:end="-103"/>
              <w:jc w:val="end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Department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7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snapToGrid w:val="false"/>
              <w:ind w:start="-180" w:end="-48"/>
              <w:jc w:val="end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29" w:type="dxa"/>
            <w:tcBorders/>
          </w:tcPr>
          <w:p>
            <w:pPr>
              <w:pStyle w:val="Normal"/>
              <w:snapToGrid w:val="false"/>
              <w:ind w:start="82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1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ind w:start="-180" w:end="-48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Cc:</w:t>
            </w:r>
          </w:p>
        </w:tc>
        <w:tc>
          <w:tcPr>
            <w:tcW w:w="5129" w:type="dxa"/>
            <w:tcBorders/>
          </w:tcPr>
          <w:p>
            <w:pPr>
              <w:pStyle w:val="Normal"/>
              <w:ind w:start="82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Rick Buy, Mark Haedicke</w:t>
            </w:r>
          </w:p>
        </w:tc>
        <w:tc>
          <w:tcPr>
            <w:tcW w:w="1711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900" w:type="dxa"/>
            <w:tcBorders/>
          </w:tcPr>
          <w:p>
            <w:pPr>
              <w:pStyle w:val="Normal"/>
              <w:tabs>
                <w:tab w:val="clear" w:pos="540"/>
                <w:tab w:val="left" w:pos="592" w:leader="none"/>
              </w:tabs>
              <w:snapToGrid w:val="false"/>
              <w:ind w:start="-180" w:end="-48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29" w:type="dxa"/>
            <w:tcBorders/>
          </w:tcPr>
          <w:p>
            <w:pPr>
              <w:pStyle w:val="Normal"/>
              <w:snapToGrid w:val="false"/>
              <w:ind w:start="82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1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tabs>
                <w:tab w:val="clear" w:pos="540"/>
                <w:tab w:val="left" w:pos="700" w:leader="none"/>
              </w:tabs>
              <w:ind w:start="-108" w:end="-48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</w:r>
          </w:p>
        </w:tc>
        <w:tc>
          <w:tcPr>
            <w:tcW w:w="5129" w:type="dxa"/>
            <w:tcBorders>
              <w:bottom w:val="single" w:sz="12" w:space="0" w:color="000000"/>
            </w:tcBorders>
          </w:tcPr>
          <w:p>
            <w:pPr>
              <w:pStyle w:val="Subject"/>
              <w:ind w:start="82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RAC Legal Group Meeting</w:t>
            </w:r>
          </w:p>
        </w:tc>
        <w:tc>
          <w:tcPr>
            <w:tcW w:w="1711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-93"/>
              <w:jc w:val="end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Body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  <w:bookmarkStart w:id="2" w:name="StartOfMemo"/>
      <w:bookmarkStart w:id="3" w:name="StartOfMemo"/>
      <w:bookmarkEnd w:id="3"/>
    </w:p>
    <w:p>
      <w:pPr>
        <w:pStyle w:val="Body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Body"/>
        <w:tabs>
          <w:tab w:val="left" w:pos="720" w:leader="none"/>
          <w:tab w:val="left" w:pos="10080" w:leader="none"/>
        </w:tabs>
        <w:ind w:start="0" w:end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ab/>
        <w:t xml:space="preserve">The RAC Group Meeting is scheduled for every Wednesday, October 17, 2001 through November 21, 2001 from 3:00 p.m. to 4:00 p.m. in EB 3824.    Dial-In Information is:    800-711-8000; Pass Code:  6349#.   </w:t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The agenda for the October 17</w:t>
      </w:r>
      <w:r>
        <w:rPr>
          <w:rFonts w:cs="Times New Roman" w:ascii="Times New Roman" w:hAnsi="Times New Roman"/>
          <w:color w:val="000000"/>
          <w:sz w:val="24"/>
          <w:vertAlign w:val="superscript"/>
        </w:rPr>
        <w:t>th</w:t>
      </w:r>
      <w:r>
        <w:rPr>
          <w:rFonts w:cs="Times New Roman" w:ascii="Times New Roman" w:hAnsi="Times New Roman"/>
          <w:color w:val="000000"/>
          <w:sz w:val="24"/>
        </w:rPr>
        <w:t xml:space="preserve"> meeting will include:</w:t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center"/>
        <w:rPr>
          <w:rFonts w:ascii="Times New Roman" w:hAnsi="Times New Roman" w:cs="Times New Roman"/>
          <w:color w:val="000000"/>
          <w:sz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u w:val="single"/>
        </w:rPr>
        <w:t>AGENDA</w:t>
      </w:r>
    </w:p>
    <w:p>
      <w:pPr>
        <w:pStyle w:val="Body"/>
        <w:tabs>
          <w:tab w:val="left" w:pos="720" w:leader="none"/>
          <w:tab w:val="left" w:pos="9720" w:leader="none"/>
        </w:tabs>
        <w:ind w:start="0" w:end="72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Recommended procedures for handling smaller bankruptcies (Ed Essandoh, Paul Darmitzel)</w:t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Bankruptcy flowchart for larger bankruptcies (Lisa Mellencamp, Michael Tribolet)</w:t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Outside Counsel – hiring and educating (Lisa Mellencamp)</w:t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List of key legal issues for lead outside counsel to provide advice (Carol St. Clair)</w:t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Internal education opportunities (Marcus Nettelton)</w:t>
      </w:r>
    </w:p>
    <w:p>
      <w:pPr>
        <w:pStyle w:val="Body"/>
        <w:numPr>
          <w:ilvl w:val="0"/>
          <w:numId w:val="2"/>
        </w:numPr>
        <w:tabs>
          <w:tab w:val="left" w:pos="720" w:leader="none"/>
          <w:tab w:val="left" w:pos="9720" w:leader="none"/>
        </w:tabs>
        <w:spacing w:lineRule="auto" w:line="480"/>
        <w:ind w:hanging="720" w:start="1080" w:end="7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Additional resources (Marcus Nettelton)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080" w:right="720" w:gutter="0" w:header="720" w:top="1440" w:footer="36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/mnt/main-storage/datasets/enron-docs/doc/RAC_Group_Agenda_Memo.doc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Forms Projects</w:t>
    </w:r>
  </w:p>
  <w:p>
    <w:pPr>
      <w:pStyle w:val="Header"/>
      <w:tabs>
        <w:tab w:val="clear" w:pos="4320"/>
        <w:tab w:val="clear" w:pos="8640"/>
        <w:tab w:val="right" w:pos="9360" w:leader="none"/>
      </w:tabs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DATE \@"MMMM\ d', 'yyyy"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>September 28, 2025</w:t>
    </w:r>
    <w:r>
      <w:rPr>
        <w:sz w:val="20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0"/>
      </w:rPr>
      <w:tab/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sz w:val="20"/>
      </w:rPr>
      <w:t xml:space="preserve">Page </w:t>
    </w: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PAGE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>0</w:t>
    </w:r>
    <w:r>
      <w:rPr>
        <w:sz w:val="20"/>
        <w:rFonts w:cs="Times New Roman" w:ascii="Times New Roman" w:hAnsi="Times New Roman"/>
      </w:rPr>
      <w:fldChar w:fldCharType="end"/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bCs/>
        <w:smallCaps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10077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10077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9.3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88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288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u w:val="none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spacing w:before="120" w:after="0"/>
      <w:jc w:val="both"/>
    </w:pPr>
    <w:rPr>
      <w:rFonts w:ascii="Helv" w:hAnsi="Helv" w:cs="Helv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autoSpaceDE w:val="false"/>
      <w:spacing w:lineRule="atLeast" w:line="240"/>
      <w:ind w:firstLine="720" w:start="0" w:end="0"/>
      <w:jc w:val="both"/>
    </w:pPr>
    <w:rPr>
      <w:rFonts w:ascii="Helv" w:hAnsi="Helv" w:cs="Helv"/>
      <w:sz w:val="20"/>
    </w:rPr>
  </w:style>
  <w:style w:type="paragraph" w:styleId="BlockText">
    <w:name w:val="Block Text"/>
    <w:basedOn w:val="Normal"/>
    <w:qFormat/>
    <w:pPr>
      <w:tabs>
        <w:tab w:val="clear" w:pos="540"/>
      </w:tabs>
      <w:autoSpaceDE w:val="false"/>
      <w:spacing w:lineRule="atLeast" w:line="240" w:before="120" w:after="0"/>
      <w:ind w:hanging="0" w:start="720" w:end="720"/>
      <w:jc w:val="both"/>
    </w:pPr>
    <w:rPr>
      <w:rFonts w:ascii="Helv" w:hAnsi="Helv" w:cs="Helv"/>
      <w:sz w:val="20"/>
    </w:rPr>
  </w:style>
  <w:style w:type="paragraph" w:styleId="BodyText2">
    <w:name w:val="Body Text 2"/>
    <w:basedOn w:val="Normal"/>
    <w:qFormat/>
    <w:pPr>
      <w:autoSpaceDE w:val="false"/>
      <w:spacing w:lineRule="atLeast" w:line="240" w:before="120" w:after="0"/>
      <w:jc w:val="both"/>
    </w:pPr>
    <w:rPr>
      <w:rFonts w:ascii="Helv" w:hAnsi="Helv" w:cs="Helv"/>
      <w:i/>
      <w:iCs/>
      <w:sz w:val="20"/>
    </w:rPr>
  </w:style>
  <w:style w:type="paragraph" w:styleId="BodyTextFirstIndent">
    <w:name w:val="Body Text First Indent"/>
    <w:basedOn w:val="Normal"/>
    <w:qFormat/>
    <w:pPr>
      <w:tabs>
        <w:tab w:val="clear" w:pos="540"/>
      </w:tabs>
      <w:spacing w:before="0" w:after="240"/>
      <w:ind w:firstLine="720" w:start="0" w:end="0"/>
      <w:jc w:val="both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spacing w:before="0" w:after="120"/>
      <w:ind w:firstLine="360" w:start="0" w:end="0"/>
      <w:jc w:val="both"/>
    </w:pPr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qFormat/>
    <w:pPr>
      <w:tabs>
        <w:tab w:val="left" w:pos="540" w:leader="none"/>
        <w:tab w:val="left" w:pos="9720" w:leader="none"/>
      </w:tabs>
      <w:spacing w:lineRule="exact" w:line="240" w:before="240" w:after="0"/>
      <w:ind w:hanging="0" w:start="0" w:end="720"/>
      <w:jc w:val="both"/>
    </w:pPr>
    <w:rPr>
      <w:rFonts w:ascii="Times New Roman" w:hAnsi="Times New Roman" w:cs="Times New Roman"/>
      <w:sz w:val="20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2001-10-15T17:51:00Z</dcterms:created>
  <dc:creator>Jeff Ford</dc:creator>
  <dc:description/>
  <dc:language>en-CA</dc:language>
  <cp:lastModifiedBy>Alice Cole Wright</cp:lastModifiedBy>
  <cp:lastPrinted>2001-10-15T15:37:00Z</cp:lastPrinted>
  <dcterms:modified xsi:type="dcterms:W3CDTF">2001-10-15T18:18:00Z</dcterms:modified>
  <cp:revision>5</cp:revision>
  <dc:subject>Analysis of ECT's Financial, Power and Gas Forms</dc:subject>
  <dc:title>Eron Capital &amp; Trade Resources Memo</dc:title>
</cp:coreProperties>
</file>