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t>RAC</w:t>
      </w:r>
    </w:p>
    <w:p>
      <w:pPr>
        <w:pStyle w:val="Normal"/>
        <w:spacing w:lineRule="auto" w:line="360"/>
        <w:rPr/>
      </w:pPr>
      <w:r>
        <w:rPr/>
        <w:t>Enron Business</w:t>
      </w:r>
    </w:p>
    <w:p>
      <w:pPr>
        <w:pStyle w:val="Normal"/>
        <w:spacing w:lineRule="auto" w:line="360"/>
        <w:rPr/>
      </w:pPr>
      <w:r>
        <w:rPr/>
        <w:t>November 29, 2000</w:t>
      </w:r>
    </w:p>
    <w:p>
      <w:pPr>
        <w:pStyle w:val="Normal"/>
        <w:spacing w:lineRule="auto" w:line="360"/>
        <w:rPr/>
      </w:pPr>
      <w:r>
        <w:rPr/>
        <w:t>Version 2</w:t>
      </w:r>
    </w:p>
    <w:p>
      <w:pPr>
        <w:pStyle w:val="Normal"/>
        <w:spacing w:lineRule="auto" w:line="360"/>
        <w:rPr/>
      </w:pPr>
      <w:r>
        <w:rPr/>
      </w:r>
    </w:p>
    <w:p>
      <w:pPr>
        <w:pStyle w:val="Normal"/>
        <w:spacing w:lineRule="auto" w:line="360"/>
        <w:rPr/>
      </w:pPr>
      <w:r>
        <w:rPr/>
      </w:r>
    </w:p>
    <w:p>
      <w:pPr>
        <w:pStyle w:val="Normal"/>
        <w:spacing w:lineRule="auto" w:line="360"/>
        <w:rPr/>
      </w:pPr>
      <w:r>
        <w:rPr/>
        <w:t>PULL QUOTE:</w:t>
      </w:r>
    </w:p>
    <w:p>
      <w:pPr>
        <w:pStyle w:val="Normal"/>
        <w:spacing w:lineRule="auto" w:line="360"/>
        <w:rPr/>
      </w:pPr>
      <w:r>
        <w:rPr/>
      </w:r>
    </w:p>
    <w:p>
      <w:pPr>
        <w:pStyle w:val="Normal"/>
        <w:spacing w:lineRule="auto" w:line="360"/>
        <w:rPr/>
      </w:pPr>
      <w:r>
        <w:rPr/>
        <w:t>“</w:t>
      </w:r>
      <w:r>
        <w:rPr/>
        <w:t>If you look at our profits we have made in merchant activity in the last five years and compare them to our overall credit losses, which are probably less than $50 million, it is not just a good story, it is a phenomenal story.” – Rick Buy, Chief Risk Officer</w:t>
      </w:r>
    </w:p>
    <w:p>
      <w:pPr>
        <w:pStyle w:val="Normal"/>
        <w:spacing w:lineRule="auto" w:line="360"/>
        <w:rPr/>
      </w:pPr>
      <w:r>
        <w:rPr/>
      </w:r>
    </w:p>
    <w:p>
      <w:pPr>
        <w:pStyle w:val="Normal"/>
        <w:spacing w:lineRule="auto" w:line="360"/>
        <w:rPr/>
      </w:pPr>
      <w:r>
        <w:rPr/>
      </w:r>
    </w:p>
    <w:p>
      <w:pPr>
        <w:pStyle w:val="Normal"/>
        <w:spacing w:lineRule="auto" w:line="360"/>
        <w:rPr>
          <w:b/>
          <w:bCs/>
        </w:rPr>
      </w:pPr>
      <w:r>
        <w:rPr>
          <w:b/>
          <w:bCs/>
        </w:rPr>
        <w:t>RAC ‘N’ Roll: Enron’s Tight Control on Risk Keeps Business Rolling</w:t>
      </w:r>
    </w:p>
    <w:p>
      <w:pPr>
        <w:pStyle w:val="Normal"/>
        <w:spacing w:lineRule="auto" w:line="360"/>
        <w:rPr>
          <w:b/>
          <w:bCs/>
        </w:rPr>
      </w:pPr>
      <w:r>
        <w:rPr>
          <w:b/>
          <w:bCs/>
        </w:rPr>
      </w:r>
    </w:p>
    <w:p>
      <w:pPr>
        <w:pStyle w:val="Normal"/>
        <w:spacing w:lineRule="auto" w:line="360"/>
        <w:rPr/>
      </w:pPr>
      <w:r>
        <w:rPr/>
      </w:r>
    </w:p>
    <w:p>
      <w:pPr>
        <w:pStyle w:val="Normal"/>
        <w:spacing w:lineRule="auto" w:line="360"/>
        <w:rPr/>
      </w:pPr>
      <w:r>
        <w:rPr/>
        <w:tab/>
        <w:t>What’s the chance that Enron could experience a monumental loss, one so devastating that the company could not fulfill its agreements, that the company’s credit rating would whirl into a tailspin and its solid Wall Street standing shattered?</w:t>
      </w:r>
    </w:p>
    <w:p>
      <w:pPr>
        <w:pStyle w:val="Normal"/>
        <w:spacing w:lineRule="auto" w:line="360"/>
        <w:rPr/>
      </w:pPr>
      <w:r>
        <w:rPr/>
        <w:tab/>
        <w:t>Not likely, but it could happen at anytime, says Rick Buy, executive vice president. He should know: he’s Enron’s chief risk officer, the single person charged with evaluating and capping Enron’s worldwide risk exposure every business day.</w:t>
      </w:r>
    </w:p>
    <w:p>
      <w:pPr>
        <w:pStyle w:val="Normal"/>
        <w:spacing w:lineRule="auto" w:line="360"/>
        <w:rPr/>
      </w:pPr>
      <w:r>
        <w:rPr/>
        <w:tab/>
        <w:t>Rick heads up Enron’s Risk Assessment and Control (RAC) unit, a group of 150 independent financial professionals who measure and evaluate Enron’s multiple risks daily. RAC sets credit limits for trading counterparties, monitors the financial performance of assets and screens internal and external capital expenditures. RAC allows Enron to take measured risks because it can quantify the company’s risk exposure. With that information in hand, the company can offset the risk with the performance of other assets, investments or credit arrangements.</w:t>
      </w:r>
    </w:p>
    <w:p>
      <w:pPr>
        <w:pStyle w:val="Normal"/>
        <w:spacing w:lineRule="auto" w:line="360"/>
        <w:rPr/>
      </w:pPr>
      <w:r>
        <w:rPr/>
        <w:tab/>
        <w:t>Large companies habitually measure their across-the-board risk. But at Enron, Rick says, “We are religious about it. We do it consistently across the company.” It is not enough, he says, to merely know what London’s, Sydney’s or Houston’s position is by itself. “Everything has to roll up – we can have only one credit exposure to Shell Oil, only one crude oil position,” he explains. Otherwise you wake up one day to find you’re in way over your head.</w:t>
      </w:r>
    </w:p>
    <w:p>
      <w:pPr>
        <w:pStyle w:val="Normal"/>
        <w:spacing w:lineRule="auto" w:line="360"/>
        <w:rPr/>
      </w:pPr>
      <w:r>
        <w:rPr/>
        <w:tab/>
        <w:t>RAC, with an annual budget of $30 million and backed by enormous information technology (“we could not function for an hour without it,” Rick says), shoulders a responsibility nearly as large as Atlas’. Enron has $80 billion in credit exposure and relationships with 15,000 counterparties. Soaring natural gas and electricity prices have doubled the company’s credit exposure in the past year. So far, Enron’s financial integrity has remained intact during the three years since RAC was formed to standardize the risk evaluation process. Macroeconomic circumstances have been favorable -- during that time, there has not been a recession -- but thanks to RAC, the company did emerge relatively unscathed from the oil &amp; gas setback in 1998.</w:t>
      </w:r>
    </w:p>
    <w:p>
      <w:pPr>
        <w:pStyle w:val="Normal"/>
        <w:spacing w:lineRule="auto" w:line="360"/>
        <w:rPr/>
      </w:pPr>
      <w:r>
        <w:rPr/>
        <w:tab/>
        <w:t>“If you look at our profits we have made in merchant activity in the last five years and compare them to our overall credit losses, which are probably less than $50 million, it is not just a good story, it is a phenomenal story,” Rick says. “A lot of credit goes to the traders, and they do a great job, but frankly there is an infrastructure behind them that is just as important.”</w:t>
      </w:r>
    </w:p>
    <w:p>
      <w:pPr>
        <w:pStyle w:val="Normal"/>
        <w:spacing w:lineRule="auto" w:line="360"/>
        <w:rPr/>
      </w:pPr>
      <w:r>
        <w:rPr/>
      </w:r>
    </w:p>
    <w:p>
      <w:pPr>
        <w:pStyle w:val="Heading1"/>
        <w:spacing w:lineRule="auto" w:line="360"/>
        <w:ind w:hanging="0" w:start="0"/>
        <w:rPr/>
      </w:pPr>
      <w:r>
        <w:rPr/>
        <w:t>Defining Risk</w:t>
      </w:r>
    </w:p>
    <w:p>
      <w:pPr>
        <w:pStyle w:val="Normal"/>
        <w:spacing w:lineRule="auto" w:line="360"/>
        <w:rPr/>
      </w:pPr>
      <w:r>
        <w:rPr/>
        <w:tab/>
        <w:t>Companies have a term for an enterprise’s total risk exposure – value at risk (VAR). VAR is defined as the potential dollar loss that could be experienced in the value of a portfolio or a business due to changes in market risk factors. Think of it this way. Enron enters into an agreement to sell 1,000 megawatts of electricity to a customer at $30 per megawatt-hour. But the market price of electricity has risen to $50, so Enron will book a loss of $20,000. However, Enron also has electricity peaking generation assets. By turning on the peakers, Enron can produce its own power to fulfill the contract or it can sell the power for $50 or even more in a different region. Because the peaker offsets the contract, Enron’s VAR is zero.</w:t>
      </w:r>
    </w:p>
    <w:p>
      <w:pPr>
        <w:pStyle w:val="Normal"/>
        <w:spacing w:lineRule="auto" w:line="360"/>
        <w:rPr/>
      </w:pPr>
      <w:r>
        <w:rPr/>
        <w:tab/>
        <w:t>Ted Murphy, a vice president and head of market risk management, likens the risk-evaluation process to a game of Tetris, the computer game that demands quick and even stacking of shapes.</w:t>
      </w:r>
    </w:p>
    <w:p>
      <w:pPr>
        <w:pStyle w:val="Normal"/>
        <w:spacing w:lineRule="auto" w:line="360"/>
        <w:ind w:firstLine="720" w:end="0"/>
        <w:rPr/>
      </w:pPr>
      <w:r>
        <w:rPr/>
        <w:t>“</w:t>
      </w:r>
      <w:r>
        <w:rPr/>
        <w:t>We do thousands of transactions a day,” Ted explains. “We want to  make markets, so we don’t turn business away. We are Enron and we are willing to make a price. If the transaction can’t be hedged one-for-one, we weave it into the risk system. We could offset a five-year transaction with a series of smaller one- or two-year deals, or be flexible on when we take the gas, for instance.”</w:t>
      </w:r>
    </w:p>
    <w:p>
      <w:pPr>
        <w:pStyle w:val="Normal"/>
        <w:spacing w:lineRule="auto" w:line="360"/>
        <w:ind w:firstLine="720" w:end="0"/>
        <w:rPr/>
      </w:pPr>
      <w:r>
        <w:rPr/>
        <w:t>Enron’s best protection is paying attention to the little things, such as strict trading policies, entering positions immediately, mark-to-market posting of positions (e.g., noting when price movements change the value of a position), checking books, etc. These details are so important that the RAC teams crams into one office every morning at 8:30 a.m. to review the events of the previous day and night (when you operate on six continents, transactions occur 24 hours a day). “There is always some little glitch,” Rick says. “If I hear the same things happening day after day, I start making calls.”</w:t>
      </w:r>
    </w:p>
    <w:p>
      <w:pPr>
        <w:pStyle w:val="Normal"/>
        <w:spacing w:lineRule="auto" w:line="360"/>
        <w:ind w:firstLine="720" w:end="0"/>
        <w:rPr/>
      </w:pPr>
      <w:r>
        <w:rPr/>
        <w:t>Enron divides its risk among three primary groups:</w:t>
      </w:r>
    </w:p>
    <w:p>
      <w:pPr>
        <w:pStyle w:val="Normal"/>
        <w:numPr>
          <w:ilvl w:val="0"/>
          <w:numId w:val="2"/>
        </w:numPr>
        <w:spacing w:lineRule="auto" w:line="360"/>
        <w:rPr/>
      </w:pPr>
      <w:r>
        <w:rPr/>
        <w:t>Credit risk, headed by Vice President Bill Bradford, assesses Enron’s counterparty risk. With more than 7,000 transactions daily, Enron’s counterparty risk is a moving target. Bill’s people look not only at a counterparty’s financial statement and history, but its commercial team strength as well. “If we hear rumors, we follow it up,” Bill says, by asking for more collateral or other measures.</w:t>
      </w:r>
    </w:p>
    <w:p>
      <w:pPr>
        <w:pStyle w:val="Normal"/>
        <w:numPr>
          <w:ilvl w:val="0"/>
          <w:numId w:val="2"/>
        </w:numPr>
        <w:spacing w:lineRule="auto" w:line="360"/>
        <w:rPr/>
      </w:pPr>
      <w:r>
        <w:rPr/>
        <w:t>Market risk, Ted’s group, assesses Enron’s physical and financial commodity positions, across all commodities and across all regions. “We calibrate the amount of risk in a book vs. other ones and try to develop an objective framework to compare them,” Ted says.</w:t>
      </w:r>
    </w:p>
    <w:p>
      <w:pPr>
        <w:pStyle w:val="Normal"/>
        <w:numPr>
          <w:ilvl w:val="0"/>
          <w:numId w:val="2"/>
        </w:numPr>
        <w:spacing w:lineRule="auto" w:line="360"/>
        <w:rPr>
          <w:b/>
          <w:bCs/>
        </w:rPr>
      </w:pPr>
      <w:r>
        <w:rPr/>
        <w:t>Underwriting risk, headed by Dave Gorte, vice president, evaluates every unbudgeted Enron investment of $500,000 or more, such as chartering a liquefied natural gas vessel, purchasing a power plant or making a venture investment in a fuel cell company. Dave says part of his job is to review asset performance quarterly with the business units. While the risk group may throw some cold water on a business unit’s evaluation, both groups work together to form a consensus in the end.</w:t>
      </w:r>
    </w:p>
    <w:p>
      <w:pPr>
        <w:pStyle w:val="Normal"/>
        <w:spacing w:lineRule="auto" w:line="360"/>
        <w:ind w:firstLine="720" w:end="0"/>
        <w:rPr/>
      </w:pPr>
      <w:r>
        <w:rPr/>
        <w:t>Risk assessment is an extremely data-intensive process. The ultimate goal is to develop a metric that allows Enron to objectively compare competing opportunities and pick the best one.</w:t>
      </w:r>
    </w:p>
    <w:p>
      <w:pPr>
        <w:pStyle w:val="Normal"/>
        <w:spacing w:lineRule="auto" w:line="360"/>
        <w:rPr/>
      </w:pPr>
      <w:r>
        <w:rPr/>
        <w:tab/>
        <w:t>“It is our Holy Grail,” says Ted, who takes over as chief risk officer at Enron Europe in January. “We are in a world of constrained capital. Say we have just $1 to invest, and managers in North America, Europe and in Broadband want that $1 for a project. We want to provide an objective framework to answer that question.”</w:t>
      </w:r>
    </w:p>
    <w:p>
      <w:pPr>
        <w:pStyle w:val="Normal"/>
        <w:spacing w:lineRule="auto" w:line="360"/>
        <w:ind w:firstLine="720" w:end="0"/>
        <w:rPr/>
      </w:pPr>
      <w:r>
        <w:rPr/>
        <w:t>How much risk can the company tolerate? That’s determined by the board of directors. Rick reports directly to the board, relaying on Enron’s risk status at every board meeting. With the board’s support, RAC enforces policies and procedures that clearly stipulate how much risk Enron is willing to take when investing capital, when it trades and when it accepts a counterparty.</w:t>
      </w:r>
    </w:p>
    <w:p>
      <w:pPr>
        <w:pStyle w:val="Heading2"/>
        <w:spacing w:lineRule="auto" w:line="360"/>
        <w:ind w:hanging="0" w:end="0"/>
        <w:rPr/>
      </w:pPr>
      <w:r>
        <w:rPr/>
      </w:r>
    </w:p>
    <w:p>
      <w:pPr>
        <w:pStyle w:val="Heading2"/>
        <w:spacing w:lineRule="auto" w:line="360"/>
        <w:ind w:hanging="0" w:end="0"/>
        <w:rPr/>
      </w:pPr>
      <w:r>
        <w:rPr/>
        <w:t>Dots and “DASHES”</w:t>
      </w:r>
    </w:p>
    <w:p>
      <w:pPr>
        <w:pStyle w:val="Normal"/>
        <w:spacing w:lineRule="auto" w:line="360"/>
        <w:ind w:firstLine="720" w:end="0"/>
        <w:rPr/>
      </w:pPr>
      <w:r>
        <w:rPr/>
        <w:t xml:space="preserve">Before </w:t>
        <w:tab/>
        <w:t xml:space="preserve">anyone at Enron signs on the dotted line, a deal must make it through a “DASH” – the acronym for Deal Approval Sheet. Each year 400 transactions are subjected to the DASH test: what is the capital commitment? What is Enron’s exposure? What is the potential upside? Is the internal rate of return (a way to measure future cash flows) satisfactory? Each transaction must be approved by the business unit head, RAC, and the tax and legal departments. At certain thresholds, other management approval is necessary. (See “Who Has the Final Say?” this page.) </w:t>
      </w:r>
    </w:p>
    <w:p>
      <w:pPr>
        <w:pStyle w:val="Normal"/>
        <w:spacing w:lineRule="auto" w:line="360"/>
        <w:ind w:firstLine="720" w:end="0"/>
        <w:rPr/>
      </w:pPr>
      <w:r>
        <w:rPr/>
        <w:t>DASH eliminates  most surprises. When Enron Energy Services (EES) last year signed a 10-year, $1.3 billion contract with Owens Corning, “the bankruptcy risk from the asbestos liability was laid out,” Rick says. Indeed, the company filed for Chapter XI bankruptcy protection this year, but Rick notes that over the long term Owens Corning’s underlying business strength and strong cash flow will safeguard Enron’s position. All risks cannot be avoided, he warns. “When you are starting a business like EES, you have to get a few transactions under your belt and take some risks.”</w:t>
      </w:r>
    </w:p>
    <w:p>
      <w:pPr>
        <w:pStyle w:val="Normal"/>
        <w:spacing w:lineRule="auto" w:line="360"/>
        <w:ind w:firstLine="720" w:end="0"/>
        <w:rPr/>
      </w:pPr>
      <w:r>
        <w:rPr/>
        <w:t>In the end, says Ted, “Enron doesn’t mind taking risk as long as we know it. But we don’t want to take risks that we don’t get paid for and that we don’t know we’re taking.”</w:t>
      </w:r>
    </w:p>
    <w:p>
      <w:pPr>
        <w:pStyle w:val="Normal"/>
        <w:spacing w:lineRule="auto" w:line="360"/>
        <w:rPr/>
      </w:pPr>
      <w:r>
        <w:rPr/>
        <w:tab/>
      </w:r>
    </w:p>
    <w:p>
      <w:pPr>
        <w:pStyle w:val="Normal"/>
        <w:spacing w:lineRule="auto" w:line="360"/>
        <w:rPr/>
      </w:pPr>
      <w:r>
        <w:rPr/>
      </w:r>
    </w:p>
    <w:p>
      <w:pPr>
        <w:pStyle w:val="Heading1"/>
        <w:spacing w:lineRule="auto" w:line="360"/>
        <w:ind w:hanging="0" w:start="0"/>
        <w:rPr/>
      </w:pPr>
      <w:r>
        <w:rPr/>
        <w:t>Who Has the Final Say?</w:t>
      </w:r>
    </w:p>
    <w:p>
      <w:pPr>
        <w:pStyle w:val="Normal"/>
        <w:ind w:firstLine="720" w:end="0"/>
        <w:rPr/>
      </w:pPr>
      <w:r>
        <w:rPr/>
        <w:t>After the calculations are done and all the risks are weighed, who says yea or nay to a request for capital? After RAC, tax and legal sign off, management must agree, too. What level of management depends on the type and size of the deal, as the table below shows. The biggest deals must go before the board.</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Type of Transaction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Deal Size</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Approving Unit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rPr/>
            </w:pPr>
            <w:r>
              <w:rPr/>
              <w:t>Commercial (e.g., a venture capital investment)</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&lt;$5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Business unit head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$5 million to &lt;$75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Ken or Jeff</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$75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Board of Directors</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Type of Transaction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Deal Size</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Approving Unit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rPr/>
            </w:pPr>
            <w:r>
              <w:rPr/>
              <w:t>Global function (e.g., a liquefied natural gas facility)</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&lt;$2million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Business unit head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 million to &lt;$75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Ken or Jeff</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$75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Board of Directors</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Type of Transaction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Deal Size</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Approving Unit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rPr/>
            </w:pPr>
            <w:r>
              <w:rPr/>
              <w:t>Non-conforming transaction (e.g., first transaction in a new wholesale commodity)</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&lt;$25 million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Ken or Jeff</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Board of Directors</w:t>
            </w:r>
          </w:p>
        </w:tc>
      </w:tr>
    </w:tbl>
    <w:p>
      <w:pPr>
        <w:pStyle w:val="Normal"/>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2000-11-28T14:42:00Z</dcterms:created>
  <dc:creator>jmandel</dc:creator>
  <dc:description/>
  <dc:language>en-CA</dc:language>
  <cp:lastModifiedBy>jmandel</cp:lastModifiedBy>
  <cp:lastPrinted>2000-11-30T08:47:00Z</cp:lastPrinted>
  <dcterms:modified xsi:type="dcterms:W3CDTF">2000-11-30T12:35:00Z</dcterms:modified>
  <cp:revision>13</cp:revision>
  <dc:subject/>
  <dc:title>RAC</dc:title>
</cp:coreProperties>
</file>