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7"/>
        <w:rPr/>
      </w:pPr>
      <w:r>
        <w:rPr/>
        <w:t>Consolidated Billing and Payment Processing Services</w:t>
      </w:r>
    </w:p>
    <w:p>
      <w:pPr>
        <w:pStyle w:val="Normal"/>
        <w:ind w:start="180" w:end="180"/>
        <w:rPr>
          <w:rFonts w:ascii="CG Times" w:hAnsi="CG Times" w:cs="CG Times"/>
          <w:sz w:val="24"/>
          <w:szCs w:val="24"/>
        </w:rPr>
      </w:pPr>
      <w:r>
        <w:rPr>
          <w:rFonts w:cs="CG Times" w:ascii="CG Times" w:hAnsi="CG Times"/>
          <w:sz w:val="24"/>
          <w:szCs w:val="24"/>
        </w:rPr>
      </w:r>
    </w:p>
    <w:p>
      <w:pPr>
        <w:pStyle w:val="Normal"/>
        <w:ind w:start="180" w:end="360"/>
        <w:rPr/>
      </w:pPr>
      <w:r>
        <w:rPr>
          <w:rFonts w:cs="CG Times" w:ascii="CG Times" w:hAnsi="CG Times"/>
          <w:sz w:val="24"/>
        </w:rPr>
        <w:t xml:space="preserve">An ESCO and the Company may agree for one party to perform consolidated billing and payment processing services on behalf of the other.  These billing and payment processing services, to be effective no earlier than the date on which Electronic Data Interchange (“EDI”) is operational, are governed by the terms and provisions of retail access billing and payment processing practices, as specified in Appendix A of the Public Service Commission’s “Order Establishing Uniform Retail Access Billing and Payment Processing Practices,” dated May 18, 2001, in Case Nos. 99-M-0631 and 98-M-1343, as may be modified from time to time by the Commission and available on the Commission’s website, </w:t>
      </w:r>
      <w:hyperlink r:id="rId2">
        <w:r>
          <w:rPr>
            <w:rStyle w:val="Hyperlink"/>
            <w:rFonts w:cs="CG Times" w:ascii="CG Times" w:hAnsi="CG Times"/>
            <w:sz w:val="24"/>
          </w:rPr>
          <w:t>www.dps.state.ny.us</w:t>
        </w:r>
      </w:hyperlink>
      <w:r>
        <w:rPr>
          <w:rFonts w:cs="CG Times" w:ascii="CG Times" w:hAnsi="CG Times"/>
          <w:sz w:val="24"/>
        </w:rPr>
        <w:t xml:space="preserve">, and by such other terms and conditions not inconsistent with otherwise applicable laws, regulations, and Commission orders as reflected in a Billing Services Agreement in the form filed by the Company.  </w:t>
      </w:r>
    </w:p>
    <w:p>
      <w:pPr>
        <w:pStyle w:val="Normal"/>
        <w:ind w:start="180" w:end="360"/>
        <w:rPr>
          <w:rFonts w:ascii="CG Times" w:hAnsi="CG Times" w:cs="CG Times"/>
          <w:sz w:val="24"/>
        </w:rPr>
      </w:pPr>
      <w:r>
        <w:rPr>
          <w:rFonts w:cs="CG Times" w:ascii="CG Times" w:hAnsi="CG Times"/>
          <w:sz w:val="24"/>
        </w:rPr>
      </w:r>
    </w:p>
    <w:p>
      <w:pPr>
        <w:pStyle w:val="Normal"/>
        <w:ind w:start="180" w:end="360"/>
        <w:rPr>
          <w:rFonts w:ascii="CG Times" w:hAnsi="CG Times" w:cs="CG Times"/>
          <w:sz w:val="24"/>
        </w:rPr>
      </w:pPr>
      <w:r>
        <w:rPr>
          <w:rFonts w:cs="CG Times" w:ascii="CG Times" w:hAnsi="CG Times"/>
          <w:sz w:val="24"/>
        </w:rPr>
        <w:t xml:space="preserve">The term “Consolidated Bill” means a bill that combines the Company’s charges and an ESCO’s charges.  A Consolidated Bill shall include a bill issued under the Company’s Billing Agency Agreement, until EDI is operational.  When EDI is operational, as established in Case 99-M-0667, and retail access billing and payment processing practices are effective, as provided in Case 99-M-0631, all provisions of this Rate Schedule relating to Billing Agency are terminated.  </w:t>
      </w:r>
    </w:p>
    <w:p>
      <w:pPr>
        <w:pStyle w:val="Normal"/>
        <w:ind w:start="180" w:end="360"/>
        <w:rPr>
          <w:rFonts w:ascii="CG Times" w:hAnsi="CG Times" w:cs="CG Times"/>
          <w:sz w:val="24"/>
        </w:rPr>
      </w:pPr>
      <w:r>
        <w:rPr>
          <w:rFonts w:cs="CG Times" w:ascii="CG Times" w:hAnsi="CG Times"/>
          <w:sz w:val="24"/>
        </w:rPr>
      </w:r>
    </w:p>
    <w:p>
      <w:pPr>
        <w:pStyle w:val="BlockText"/>
        <w:rPr>
          <w:color w:val="000000"/>
          <w:u w:val="none"/>
        </w:rPr>
      </w:pPr>
      <w:r>
        <w:rPr>
          <w:color w:val="000000"/>
          <w:u w:val="none"/>
        </w:rPr>
        <w:t>In advance of the effectiveness of the Commission’s Billing and Payment Processing Practices (the “Billing UBP”), the Company may offer Consolidated Utility Billing to ESCOs by agreement.  When EDI standards are approved by the Commission and operational for Consolidated Billing by utilities, the Company’s consolidated utility billing service will be modified to conform to the requirements of EDI and the Billing UBP.</w:t>
      </w:r>
    </w:p>
    <w:p>
      <w:pPr>
        <w:pStyle w:val="Normal"/>
        <w:ind w:start="180" w:end="180"/>
        <w:rPr>
          <w:rFonts w:ascii="CG Times" w:hAnsi="CG Times" w:cs="CG Times"/>
          <w:color w:val="000000"/>
          <w:sz w:val="24"/>
          <w:u w:val="none"/>
        </w:rPr>
      </w:pPr>
      <w:r>
        <w:rPr>
          <w:rFonts w:cs="CG Times" w:ascii="CG Times" w:hAnsi="CG Times"/>
          <w:color w:val="000000"/>
          <w:sz w:val="24"/>
          <w:u w:val="none"/>
        </w:rPr>
      </w:r>
    </w:p>
    <w:p>
      <w:pPr>
        <w:pStyle w:val="Normal"/>
        <w:ind w:start="180" w:end="180"/>
        <w:rPr/>
      </w:pPr>
      <w:r>
        <w:rPr>
          <w:rFonts w:cs="CG Times" w:ascii="CG Times" w:hAnsi="CG Times"/>
          <w:sz w:val="24"/>
        </w:rPr>
        <w:t>The Company will charge $0.65 per account per monthly billing cycle to an ESCO when the Company and ESCO have executed a Billing Services Agreement for the Company to provide Consolidated Bills to an ESCO’s customer(s).  I</w:t>
      </w:r>
      <w:r>
        <w:rPr>
          <w:rFonts w:cs="CG Times" w:ascii="CG Times" w:hAnsi="CG Times"/>
          <w:sz w:val="24"/>
          <w:szCs w:val="24"/>
        </w:rPr>
        <w:t>f there is one ESCO for electric service and another ESCO for gas service</w:t>
      </w:r>
      <w:r>
        <w:rPr>
          <w:rFonts w:cs="CG Times" w:ascii="CG Times" w:hAnsi="CG Times"/>
          <w:sz w:val="24"/>
        </w:rPr>
        <w:t xml:space="preserve"> o</w:t>
      </w:r>
      <w:r>
        <w:rPr>
          <w:rFonts w:cs="CG Times" w:ascii="CG Times" w:hAnsi="CG Times"/>
          <w:sz w:val="24"/>
          <w:szCs w:val="24"/>
        </w:rPr>
        <w:t>n a combined electric and gas account, the Company will charge each ESCO one-half of the applicable charge.</w:t>
      </w:r>
    </w:p>
    <w:p>
      <w:pPr>
        <w:pStyle w:val="Normal"/>
        <w:ind w:start="180" w:end="180"/>
        <w:rPr>
          <w:rFonts w:ascii="CG Times" w:hAnsi="CG Times" w:cs="CG Times"/>
          <w:sz w:val="24"/>
          <w:szCs w:val="24"/>
        </w:rPr>
      </w:pPr>
      <w:r>
        <w:rPr>
          <w:rFonts w:cs="CG Times" w:ascii="CG Times" w:hAnsi="CG Times"/>
          <w:sz w:val="24"/>
          <w:szCs w:val="24"/>
        </w:rPr>
      </w:r>
    </w:p>
    <w:p>
      <w:pPr>
        <w:pStyle w:val="Normal"/>
        <w:ind w:start="180" w:end="360"/>
        <w:rPr>
          <w:rFonts w:ascii="CG Times" w:hAnsi="CG Times" w:cs="CG Times"/>
          <w:sz w:val="24"/>
        </w:rPr>
      </w:pPr>
      <w:r>
        <w:rPr>
          <w:rFonts w:cs="CG Times" w:ascii="CG Times" w:hAnsi="CG Times"/>
          <w:sz w:val="24"/>
        </w:rPr>
        <w:t>After EDI is operational, an ESCO that wants to provide Consolidated Bills must qualify under the requirements for EDI and execute a Billing Services Agreement in the form provided by the Company.</w:t>
      </w:r>
    </w:p>
    <w:sectPr>
      <w:headerReference w:type="default" r:id="rId3"/>
      <w:footerReference w:type="default" r:id="rId4"/>
      <w:type w:val="nextPage"/>
      <w:pgSz w:w="12240" w:h="15840"/>
      <w:pgMar w:left="1800" w:right="1080" w:gutter="0" w:header="576" w:top="2160" w:footer="1440" w:bottom="1496"/>
      <w:pgBorders w:display="allPages" w:offsetFrom="text">
        <w:top w:val="single" w:sz="4" w:space="8" w:color="000000"/>
        <w:left w:val="single" w:sz="4" w:space="4" w:color="000000"/>
        <w:bottom w:val="single" w:sz="4" w:space="1" w:color="000000"/>
        <w:right w:val="single" w:sz="4" w:space="4" w:color="000000"/>
      </w:pgBorders>
      <w:pgNumType w:start="9"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jc w:val="center"/>
      <w:rPr>
        <w:rFonts w:ascii="CG Times" w:hAnsi="CG Times" w:cs="CG Times"/>
        <w:b/>
        <w:bCs/>
        <w:sz w:val="18"/>
        <w:szCs w:val="18"/>
      </w:rPr>
    </w:pPr>
    <w:r>
      <w:rPr>
        <w:rFonts w:cs="CG Times" w:ascii="CG Times" w:hAnsi="CG Times"/>
        <w:b/>
        <w:bCs/>
        <w:sz w:val="18"/>
        <w:szCs w:val="18"/>
      </w:rPr>
    </w:r>
  </w:p>
  <w:p>
    <w:pPr>
      <w:pStyle w:val="Footer"/>
      <w:tabs>
        <w:tab w:val="clear" w:pos="8640"/>
        <w:tab w:val="center" w:pos="4320" w:leader="none"/>
        <w:tab w:val="right" w:pos="9270" w:leader="none"/>
      </w:tabs>
      <w:rPr>
        <w:rFonts w:ascii="CG Times" w:hAnsi="CG Times" w:cs="CG Times"/>
        <w:b/>
        <w:bCs/>
        <w:sz w:val="24"/>
        <w:szCs w:val="24"/>
      </w:rPr>
    </w:pPr>
    <w:r>
      <w:rPr>
        <w:rFonts w:cs="CG Times" w:ascii="CG Times" w:hAnsi="CG Times"/>
        <w:b/>
        <w:bCs/>
        <w:sz w:val="24"/>
        <w:szCs w:val="24"/>
      </w:rPr>
      <w:t>Date of Issue:  February 4, 2002</w:t>
      <w:tab/>
      <w:tab/>
      <w:t>Date Effective:  May 1, 2002</w:t>
    </w:r>
  </w:p>
  <w:p>
    <w:pPr>
      <w:pStyle w:val="Footer"/>
      <w:tabs>
        <w:tab w:val="clear" w:pos="4320"/>
        <w:tab w:val="clear" w:pos="8640"/>
        <w:tab w:val="left" w:pos="1660" w:leader="none"/>
      </w:tabs>
      <w:rPr>
        <w:rFonts w:ascii="CG Times" w:hAnsi="CG Times" w:cs="CG Times"/>
        <w:b/>
        <w:bCs/>
      </w:rPr>
    </w:pPr>
    <w:r>
      <w:rPr>
        <w:rFonts w:cs="CG Times" w:ascii="CG Times" w:hAnsi="CG Times"/>
        <w:b/>
        <w:bCs/>
      </w:rPr>
      <w:tab/>
    </w:r>
  </w:p>
  <w:p>
    <w:pPr>
      <w:pStyle w:val="Footer"/>
      <w:tabs>
        <w:tab w:val="clear" w:pos="8640"/>
        <w:tab w:val="center" w:pos="4320" w:leader="none"/>
        <w:tab w:val="right" w:pos="9360" w:leader="none"/>
      </w:tabs>
      <w:jc w:val="center"/>
      <w:rPr>
        <w:rFonts w:ascii="CG Times" w:hAnsi="CG Times" w:cs="CG Times"/>
        <w:b/>
        <w:bCs/>
        <w:sz w:val="18"/>
        <w:szCs w:val="18"/>
      </w:rPr>
    </w:pPr>
    <w:r>
      <w:rPr>
        <w:rFonts w:cs="CG Times" w:ascii="CG Times" w:hAnsi="CG Times"/>
        <w:b/>
        <w:bCs/>
        <w:sz w:val="18"/>
        <w:szCs w:val="18"/>
      </w:rPr>
      <w:t>Issued by:  Joan S. Freilich, Executive Vice President and Chief Financial Officer, 4 Irving Place, NY, NY 10003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4"/>
      <w:ind w:hanging="0" w:start="5040" w:end="0"/>
      <w:rPr/>
    </w:pPr>
    <w:r>
      <w:rPr/>
    </w:r>
  </w:p>
  <w:p>
    <w:pPr>
      <w:pStyle w:val="Heading4"/>
      <w:ind w:hanging="0" w:start="5040" w:end="0"/>
      <w:rPr/>
    </w:pPr>
    <w:r>
      <w:rPr/>
    </w:r>
  </w:p>
  <w:p>
    <w:pPr>
      <w:pStyle w:val="Heading3"/>
      <w:tabs>
        <w:tab w:val="clear" w:pos="720"/>
        <w:tab w:val="left" w:pos="5040" w:leader="none"/>
      </w:tabs>
      <w:ind w:hanging="0" w:start="0"/>
      <w:rPr>
        <w:b/>
        <w:bCs/>
        <w:u w:val="none"/>
      </w:rPr>
    </w:pPr>
    <w:r>
      <w:rPr>
        <w:b/>
        <w:bCs/>
        <w:u w:val="none"/>
      </w:rPr>
      <w:tab/>
      <w:t>P.S.C. No. 2 - Retail Access</w:t>
      <w:tab/>
    </w:r>
  </w:p>
  <w:p>
    <w:pPr>
      <w:pStyle w:val="Heading3"/>
      <w:tabs>
        <w:tab w:val="clear" w:pos="720"/>
        <w:tab w:val="left" w:pos="180" w:leader="none"/>
        <w:tab w:val="left" w:pos="5040" w:leader="none"/>
      </w:tabs>
      <w:ind w:hanging="0" w:start="0"/>
      <w:rPr>
        <w:b/>
        <w:bCs/>
        <w:u w:val="none"/>
      </w:rPr>
    </w:pPr>
    <w:r>
      <w:rPr>
        <w:b/>
        <w:bCs/>
        <w:u w:val="none"/>
      </w:rPr>
      <w:t xml:space="preserve"> </w:t>
    </w:r>
    <w:r>
      <w:rPr>
        <w:b/>
        <w:bCs/>
        <w:u w:val="none"/>
      </w:rPr>
      <w:t>Consolidated Edison Company</w:t>
      <w:tab/>
      <w:t>First Revised Leaf No. 8-A</w:t>
      <w:tab/>
    </w:r>
  </w:p>
  <w:p>
    <w:pPr>
      <w:pStyle w:val="Heading3"/>
      <w:ind w:hanging="0" w:start="270" w:end="0"/>
      <w:rPr>
        <w:b/>
        <w:bCs/>
        <w:u w:val="none"/>
      </w:rPr>
    </w:pPr>
    <w:r>
      <w:rPr>
        <w:b/>
        <w:bCs/>
        <w:u w:val="none"/>
      </w:rPr>
      <w:t>of New York, Inc.</w:t>
      <w:tab/>
      <w:tab/>
      <w:tab/>
      <w:tab/>
      <w:tab/>
      <w:t>Superseding Original Leaf No. 8-A</w:t>
    </w:r>
  </w:p>
  <w:p>
    <w:pPr>
      <w:pStyle w:val="Normal"/>
      <w:rPr>
        <w:b/>
        <w:bCs/>
        <w:u w:val="none"/>
      </w:rPr>
    </w:pPr>
    <w:r>
      <w:rPr>
        <w:b/>
        <w:bCs/>
        <w:u w:val="none"/>
      </w:rPr>
    </w:r>
  </w:p>
  <w:p>
    <w:pPr>
      <w:pStyle w:val="Normal"/>
      <w:rPr>
        <w:sz w:val="24"/>
        <w:szCs w:val="24"/>
      </w:rPr>
    </w:pPr>
    <w:r>
      <w:rPr>
        <w:sz w:val="24"/>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2880" w:leader="none"/>
      </w:tabs>
      <w:outlineLvl w:val="0"/>
    </w:pPr>
    <w:rPr>
      <w:rFonts w:ascii="CG Times" w:hAnsi="CG Times" w:cs="CG Times"/>
      <w:sz w:val="24"/>
      <w:szCs w:val="24"/>
    </w:rPr>
  </w:style>
  <w:style w:type="paragraph" w:styleId="Heading2">
    <w:name w:val="heading 2"/>
    <w:basedOn w:val="Normal"/>
    <w:next w:val="Normal"/>
    <w:qFormat/>
    <w:pPr>
      <w:keepNext w:val="true"/>
      <w:numPr>
        <w:ilvl w:val="1"/>
        <w:numId w:val="1"/>
      </w:numPr>
      <w:tabs>
        <w:tab w:val="clear" w:pos="720"/>
        <w:tab w:val="left" w:pos="2880" w:leader="none"/>
      </w:tabs>
      <w:outlineLvl w:val="1"/>
    </w:pPr>
    <w:rPr>
      <w:b/>
      <w:bCs/>
      <w:sz w:val="24"/>
      <w:szCs w:val="24"/>
    </w:rPr>
  </w:style>
  <w:style w:type="paragraph" w:styleId="Heading3">
    <w:name w:val="heading 3"/>
    <w:basedOn w:val="Normal"/>
    <w:next w:val="Normal"/>
    <w:qFormat/>
    <w:pPr>
      <w:keepNext w:val="true"/>
      <w:numPr>
        <w:ilvl w:val="2"/>
        <w:numId w:val="1"/>
      </w:numPr>
      <w:outlineLvl w:val="2"/>
    </w:pPr>
    <w:rPr>
      <w:sz w:val="24"/>
      <w:szCs w:val="24"/>
      <w:u w:val="single"/>
    </w:rPr>
  </w:style>
  <w:style w:type="paragraph" w:styleId="Heading4">
    <w:name w:val="heading 4"/>
    <w:basedOn w:val="Normal"/>
    <w:next w:val="Normal"/>
    <w:qFormat/>
    <w:pPr>
      <w:keepNext w:val="true"/>
      <w:numPr>
        <w:ilvl w:val="3"/>
        <w:numId w:val="1"/>
      </w:numPr>
      <w:tabs>
        <w:tab w:val="clear" w:pos="720"/>
        <w:tab w:val="left" w:pos="2880" w:leader="none"/>
      </w:tabs>
      <w:outlineLvl w:val="3"/>
    </w:pPr>
    <w:rPr>
      <w:b/>
      <w:bCs/>
      <w:sz w:val="24"/>
      <w:szCs w:val="24"/>
    </w:rPr>
  </w:style>
  <w:style w:type="paragraph" w:styleId="Heading5">
    <w:name w:val="heading 5"/>
    <w:basedOn w:val="Normal"/>
    <w:next w:val="Normal"/>
    <w:qFormat/>
    <w:pPr>
      <w:keepNext w:val="true"/>
      <w:numPr>
        <w:ilvl w:val="4"/>
        <w:numId w:val="1"/>
      </w:numPr>
      <w:tabs>
        <w:tab w:val="clear" w:pos="720"/>
        <w:tab w:val="left" w:pos="2880" w:leader="none"/>
      </w:tabs>
      <w:outlineLvl w:val="4"/>
    </w:pPr>
    <w:rPr>
      <w:i/>
      <w:iCs/>
      <w:sz w:val="24"/>
      <w:szCs w:val="24"/>
    </w:rPr>
  </w:style>
  <w:style w:type="paragraph" w:styleId="Heading6">
    <w:name w:val="heading 6"/>
    <w:basedOn w:val="Normal"/>
    <w:next w:val="Normal"/>
    <w:qFormat/>
    <w:pPr>
      <w:keepNext w:val="true"/>
      <w:numPr>
        <w:ilvl w:val="5"/>
        <w:numId w:val="1"/>
      </w:numPr>
      <w:tabs>
        <w:tab w:val="clear" w:pos="720"/>
        <w:tab w:val="left" w:pos="2880" w:leader="none"/>
      </w:tabs>
      <w:outlineLvl w:val="5"/>
    </w:pPr>
    <w:rPr>
      <w:b/>
      <w:bCs/>
      <w:sz w:val="24"/>
      <w:szCs w:val="24"/>
      <w:u w:val="single"/>
    </w:rPr>
  </w:style>
  <w:style w:type="paragraph" w:styleId="Heading7">
    <w:name w:val="heading 7"/>
    <w:basedOn w:val="Normal"/>
    <w:next w:val="Normal"/>
    <w:qFormat/>
    <w:pPr>
      <w:keepNext w:val="true"/>
      <w:numPr>
        <w:ilvl w:val="6"/>
        <w:numId w:val="1"/>
      </w:numPr>
      <w:ind w:hanging="0" w:start="180" w:end="180"/>
      <w:outlineLvl w:val="6"/>
    </w:pPr>
    <w:rPr>
      <w:rFonts w:ascii="CG Times" w:hAnsi="CG Times" w:cs="CG Times"/>
      <w:sz w:val="24"/>
      <w:szCs w:val="24"/>
      <w:u w:val="single"/>
    </w:rPr>
  </w:style>
  <w:style w:type="character" w:styleId="WW8Num3z0">
    <w:name w:val="WW8Num3z0"/>
    <w:qFormat/>
    <w:rPr>
      <w:b w:val="false"/>
      <w:i w:val="false"/>
      <w:sz w:val="24"/>
      <w:szCs w:val="24"/>
    </w:rPr>
  </w:style>
  <w:style w:type="character" w:styleId="WW8Num7z0">
    <w:name w:val="WW8Num7z0"/>
    <w:qFormat/>
    <w:rPr>
      <w:b w:val="false"/>
      <w:i w:val="false"/>
    </w:rPr>
  </w:style>
  <w:style w:type="character" w:styleId="WW8Num10z0">
    <w:name w:val="WW8Num10z0"/>
    <w:qFormat/>
    <w:rPr>
      <w:b w:val="false"/>
      <w:i w:val="false"/>
    </w:rPr>
  </w:style>
  <w:style w:type="character" w:styleId="WW8Num13z0">
    <w:name w:val="WW8Num13z0"/>
    <w:qFormat/>
    <w:rPr>
      <w:b w:val="false"/>
      <w:i w:val="false"/>
    </w:rPr>
  </w:style>
  <w:style w:type="character" w:styleId="WW8Num15z0">
    <w:name w:val="WW8Num15z0"/>
    <w:qFormat/>
    <w:rPr>
      <w:b w:val="false"/>
      <w:i w:val="false"/>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2880" w:leader="none"/>
      </w:tabs>
    </w:pPr>
    <w:rPr>
      <w:rFonts w:ascii="CG Times" w:hAnsi="CG Times" w:cs="CG Times"/>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rFonts w:ascii="CG Times" w:hAnsi="CG Times" w:cs="CG Times"/>
      <w:sz w:val="24"/>
      <w:szCs w:val="24"/>
    </w:rPr>
  </w:style>
  <w:style w:type="paragraph" w:styleId="DocumentMap">
    <w:name w:val="Document Map"/>
    <w:basedOn w:val="Normal"/>
    <w:qFormat/>
    <w:pPr>
      <w:shd w:fill="000080" w:val="clear"/>
    </w:pPr>
    <w:rPr>
      <w:rFonts w:ascii="Tahoma" w:hAnsi="Tahoma" w:cs="Tahoma"/>
    </w:rPr>
  </w:style>
  <w:style w:type="paragraph" w:styleId="BlockText">
    <w:name w:val="Block Text"/>
    <w:basedOn w:val="Normal"/>
    <w:qFormat/>
    <w:pPr>
      <w:ind w:hanging="0" w:start="180" w:end="360"/>
    </w:pPr>
    <w:rPr>
      <w:rFonts w:ascii="CG Times" w:hAnsi="CG Times" w:cs="CG Times"/>
      <w:color w:val="0000FF"/>
      <w:sz w:val="24"/>
      <w:u w:val="single"/>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dps.state.ny.us/"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2002-02-01T11:42:00Z</dcterms:created>
  <dc:creator>levined</dc:creator>
  <dc:description/>
  <dc:language>en-CA</dc:language>
  <cp:lastModifiedBy>LEVINED</cp:lastModifiedBy>
  <cp:lastPrinted>1999-04-21T12:34:00Z</cp:lastPrinted>
  <dcterms:modified xsi:type="dcterms:W3CDTF">2002-02-01T11:42:00Z</dcterms:modified>
  <cp:revision>2</cp:revision>
  <dc:subject/>
  <dc:title>Delivery Service</dc:title>
</cp:coreProperties>
</file>