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180" w:end="270"/>
        <w:rPr>
          <w:rFonts w:ascii="CG Times;CG Times" w:hAnsi="CG Times;CG Times" w:cs="CG Times;CG Times"/>
          <w:sz w:val="24"/>
          <w:szCs w:val="24"/>
          <w:u w:val="single"/>
        </w:rPr>
      </w:pPr>
      <w:r>
        <w:rPr>
          <w:rFonts w:cs="CG Times;CG Times" w:ascii="CG Times;CG Times" w:hAnsi="CG Times;CG Times"/>
          <w:sz w:val="24"/>
          <w:szCs w:val="24"/>
          <w:u w:val="single"/>
        </w:rPr>
      </w:r>
    </w:p>
    <w:p>
      <w:pPr>
        <w:pStyle w:val="Normal"/>
        <w:ind w:start="180" w:end="270"/>
        <w:rPr>
          <w:rFonts w:ascii="CG Times;CG Times" w:hAnsi="CG Times;CG Times" w:cs="CG Times;CG Times"/>
          <w:sz w:val="24"/>
          <w:szCs w:val="24"/>
          <w:u w:val="single"/>
        </w:rPr>
      </w:pPr>
      <w:r>
        <w:rPr>
          <w:rFonts w:cs="CG Times;CG Times" w:ascii="CG Times;CG Times" w:hAnsi="CG Times;CG Times"/>
          <w:sz w:val="24"/>
          <w:szCs w:val="24"/>
          <w:u w:val="single"/>
        </w:rPr>
        <w:t>Historical Information</w:t>
      </w:r>
    </w:p>
    <w:p>
      <w:pPr>
        <w:pStyle w:val="Normal"/>
        <w:ind w:start="180" w:end="270"/>
        <w:rPr>
          <w:rFonts w:ascii="CG Times;CG Times" w:hAnsi="CG Times;CG Times" w:cs="CG Times;CG Times"/>
          <w:sz w:val="24"/>
          <w:szCs w:val="24"/>
          <w:u w:val="single"/>
        </w:rPr>
      </w:pPr>
      <w:r>
        <w:rPr>
          <w:rFonts w:cs="CG Times;CG Times" w:ascii="CG Times;CG Times" w:hAnsi="CG Times;CG Times"/>
          <w:sz w:val="24"/>
          <w:szCs w:val="24"/>
          <w:u w:val="single"/>
        </w:rPr>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t xml:space="preserve">An ESCO that is authorized by a Customer to receive usage and billing information may request and will be provided, at no charge and within five business days, a statement of the account's usage and billing information for up to the most recent 12 months.  Usage and billing information will include:  the Service Classification, whether the reading is actual or estimated, consumption, demand, if applicable, and dollars billed.  It will also include up to the most recent 12 months of historical interval information, if available and requested.  The Company will not disclose usage and billing information to an ESCO if the Customer has given advance notification to the Company in writing that such information should not be disclosed.  The information may thereafter be disclosed to an ESCO only with the Customer's written authorization.  </w:t>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t xml:space="preserve">An ESCO which has received written authorization from a Customer to receive credit information may request and will be provided, at no charge and within five business days, information as to whether or not the Customer had late payments and/or had service discontinued for non-payment within the past 12 months.  </w:t>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t xml:space="preserve">The Company will charge $15.00 per account per year of information when usage and billing information and/or credit information is requested beyond that provided at no charge. </w:t>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r>
    </w:p>
    <w:p>
      <w:pPr>
        <w:pStyle w:val="Normal"/>
        <w:ind w:start="180" w:end="270"/>
        <w:rPr>
          <w:rFonts w:ascii="CG Times;CG Times" w:hAnsi="CG Times;CG Times" w:cs="CG Times;CG Times"/>
          <w:sz w:val="24"/>
          <w:szCs w:val="24"/>
          <w:u w:val="single"/>
        </w:rPr>
      </w:pPr>
      <w:r>
        <w:rPr>
          <w:rFonts w:cs="CG Times;CG Times" w:ascii="CG Times;CG Times" w:hAnsi="CG Times;CG Times"/>
          <w:sz w:val="24"/>
          <w:szCs w:val="24"/>
          <w:u w:val="single"/>
        </w:rPr>
        <w:t xml:space="preserve">Interval Information </w:t>
      </w:r>
    </w:p>
    <w:p>
      <w:pPr>
        <w:pStyle w:val="Normal"/>
        <w:ind w:start="180" w:end="270"/>
        <w:rPr>
          <w:rFonts w:ascii="CG Times;CG Times" w:hAnsi="CG Times;CG Times" w:cs="CG Times;CG Times"/>
          <w:sz w:val="24"/>
          <w:szCs w:val="24"/>
          <w:u w:val="single"/>
        </w:rPr>
      </w:pPr>
      <w:r>
        <w:rPr>
          <w:rFonts w:cs="CG Times;CG Times" w:ascii="CG Times;CG Times" w:hAnsi="CG Times;CG Times"/>
          <w:sz w:val="24"/>
          <w:szCs w:val="24"/>
          <w:u w:val="single"/>
        </w:rPr>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t>Except for meters served by Meter Data Service Providers, the Company will provide through the Internet interval information to ESCOs and Direct Customers for Customer accounts having interval meters with operating telemetry capability, Information for the current billing cycle will be provided without a charge at the end of the billing cycle.  The Company will provide, on an ESCO’s request, access to such information on a more frequent basis for a fee, payable in advance.</w:t>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r>
    </w:p>
    <w:p>
      <w:pPr>
        <w:pStyle w:val="Normal"/>
        <w:ind w:start="180" w:end="270"/>
        <w:rPr>
          <w:rFonts w:ascii="CG Times;CG Times" w:hAnsi="CG Times;CG Times" w:cs="CG Times;CG Times"/>
          <w:sz w:val="24"/>
          <w:szCs w:val="24"/>
        </w:rPr>
      </w:pPr>
      <w:r>
        <w:rPr>
          <w:rFonts w:cs="CG Times;CG Times" w:ascii="CG Times;CG Times" w:hAnsi="CG Times;CG Times"/>
          <w:sz w:val="24"/>
          <w:szCs w:val="24"/>
        </w:rPr>
        <w:tab/>
        <w:t>Daily access fee:</w:t>
        <w:tab/>
        <w:t>$241.00 per year</w:t>
      </w:r>
    </w:p>
    <w:p>
      <w:pPr>
        <w:pStyle w:val="Normal"/>
        <w:ind w:start="720" w:end="270"/>
        <w:rPr>
          <w:rFonts w:ascii="CG Times;CG Times" w:hAnsi="CG Times;CG Times" w:cs="CG Times;CG Times"/>
          <w:sz w:val="24"/>
          <w:szCs w:val="24"/>
        </w:rPr>
      </w:pPr>
      <w:r>
        <w:rPr>
          <w:rFonts w:cs="CG Times;CG Times" w:ascii="CG Times;CG Times" w:hAnsi="CG Times;CG Times"/>
          <w:sz w:val="24"/>
          <w:szCs w:val="24"/>
        </w:rPr>
        <w:t>Weekly access fee:</w:t>
        <w:tab/>
        <w:t>$  27.00 per year</w:t>
      </w:r>
    </w:p>
    <w:sectPr>
      <w:headerReference w:type="default" r:id="rId2"/>
      <w:footerReference w:type="default" r:id="rId3"/>
      <w:type w:val="nextPage"/>
      <w:pgSz w:w="12240" w:h="15840"/>
      <w:pgMar w:left="1800" w:right="1080" w:gutter="0" w:header="576" w:top="2160" w:footer="1440" w:bottom="1496"/>
      <w:pgBorders w:display="allPages" w:offsetFrom="text">
        <w:top w:val="single" w:sz="4" w:space="1" w:color="000000"/>
        <w:left w:val="single" w:sz="4" w:space="4" w:color="000000"/>
        <w:bottom w:val="single" w:sz="4" w:space="1" w:color="000000"/>
        <w:right w:val="single" w:sz="4"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270" w:leader="none"/>
      </w:tabs>
      <w:rPr>
        <w:rFonts w:ascii="CG Times;CG Times" w:hAnsi="CG Times;CG Times" w:cs="CG Times;CG Times"/>
        <w:b/>
        <w:bCs/>
        <w:sz w:val="24"/>
        <w:szCs w:val="24"/>
      </w:rPr>
    </w:pPr>
    <w:r>
      <w:rPr>
        <w:rFonts w:cs="CG Times;CG Times" w:ascii="CG Times;CG Times" w:hAnsi="CG Times;CG Times"/>
        <w:b/>
        <w:bCs/>
        <w:sz w:val="24"/>
        <w:szCs w:val="24"/>
      </w:rPr>
      <w:t>Date of Issue:  February 4, 2002</w:t>
      <w:tab/>
      <w:tab/>
      <w:t>Date Effective:  May 1, 2002</w:t>
    </w:r>
  </w:p>
  <w:p>
    <w:pPr>
      <w:pStyle w:val="Footer"/>
      <w:tabs>
        <w:tab w:val="clear" w:pos="4320"/>
        <w:tab w:val="clear" w:pos="8640"/>
        <w:tab w:val="left" w:pos="1660" w:leader="none"/>
      </w:tabs>
      <w:rPr>
        <w:rFonts w:ascii="CG Times;CG Times" w:hAnsi="CG Times;CG Times" w:cs="CG Times;CG Times"/>
        <w:b/>
        <w:bCs/>
      </w:rPr>
    </w:pPr>
    <w:r>
      <w:rPr>
        <w:rFonts w:cs="CG Times;CG Times" w:ascii="CG Times;CG Times" w:hAnsi="CG Times;CG Times"/>
        <w:b/>
        <w:bCs/>
      </w:rPr>
      <w:tab/>
    </w:r>
  </w:p>
  <w:p>
    <w:pPr>
      <w:pStyle w:val="Footer"/>
      <w:tabs>
        <w:tab w:val="clear" w:pos="8640"/>
        <w:tab w:val="center" w:pos="4320" w:leader="none"/>
        <w:tab w:val="right" w:pos="9360" w:leader="none"/>
      </w:tabs>
      <w:jc w:val="center"/>
      <w:rPr>
        <w:rFonts w:ascii="CG Times;CG Times" w:hAnsi="CG Times;CG Times" w:cs="CG Times;CG Times"/>
        <w:b/>
        <w:bCs/>
        <w:sz w:val="18"/>
        <w:szCs w:val="18"/>
      </w:rPr>
    </w:pPr>
    <w:r>
      <w:rPr>
        <w:rFonts w:cs="CG Times;CG Times" w:ascii="CG Times;CG Times" w:hAnsi="CG Times;CG Times"/>
        <w:b/>
        <w:bCs/>
        <w:sz w:val="18"/>
        <w:szCs w:val="18"/>
      </w:rPr>
      <w:t>Issued by:  Joan S. Freilich, Executive Vice President and Chief Financial Officer, 4 Irving Place, NY, NY 10003</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2"/>
      <w:tabs>
        <w:tab w:val="clear" w:pos="2880"/>
        <w:tab w:val="left" w:pos="4680" w:leader="none"/>
      </w:tabs>
      <w:ind w:hanging="0" w:start="4680" w:end="0"/>
      <w:rPr>
        <w:u w:val="single"/>
      </w:rPr>
    </w:pPr>
    <w:r>
      <w:rPr>
        <w:u w:val="single"/>
      </w:rPr>
    </w:r>
  </w:p>
  <w:p>
    <w:pPr>
      <w:pStyle w:val="Heading1"/>
      <w:tabs>
        <w:tab w:val="clear" w:pos="2880"/>
        <w:tab w:val="left" w:pos="180" w:leader="none"/>
        <w:tab w:val="left" w:pos="4680" w:leader="none"/>
      </w:tabs>
      <w:ind w:hanging="0" w:start="4680" w:end="0"/>
      <w:rPr>
        <w:b/>
        <w:bCs/>
      </w:rPr>
    </w:pPr>
    <w:r>
      <w:rPr>
        <w:b/>
        <w:bCs/>
      </w:rPr>
      <w:t>P.S.C. No. 2 - Retail Access</w:t>
    </w:r>
  </w:p>
  <w:p>
    <w:pPr>
      <w:pStyle w:val="Heading1"/>
      <w:tabs>
        <w:tab w:val="clear" w:pos="2880"/>
        <w:tab w:val="left" w:pos="180" w:leader="none"/>
        <w:tab w:val="left" w:pos="4680" w:leader="none"/>
      </w:tabs>
      <w:ind w:hanging="4500" w:start="4680" w:end="0"/>
      <w:rPr>
        <w:b/>
        <w:bCs/>
      </w:rPr>
    </w:pPr>
    <w:r>
      <w:rPr>
        <w:b/>
        <w:bCs/>
      </w:rPr>
      <w:tab/>
      <w:t>Ninth Revised Leaf No. 7</w:t>
    </w:r>
  </w:p>
  <w:p>
    <w:pPr>
      <w:pStyle w:val="Heading1"/>
      <w:tabs>
        <w:tab w:val="clear" w:pos="2880"/>
        <w:tab w:val="left" w:pos="90" w:leader="none"/>
        <w:tab w:val="left" w:pos="4680" w:leader="none"/>
      </w:tabs>
      <w:ind w:hanging="4590" w:start="4680" w:end="0"/>
      <w:rPr>
        <w:b/>
        <w:bCs/>
      </w:rPr>
    </w:pPr>
    <w:r>
      <w:rPr>
        <w:b/>
        <w:bCs/>
      </w:rPr>
      <w:t>Consolidated Edison Company</w:t>
      <w:tab/>
      <w:t>Superseding Eighth Revised Leaf No. 7</w:t>
    </w:r>
  </w:p>
  <w:p>
    <w:pPr>
      <w:pStyle w:val="Header"/>
      <w:tabs>
        <w:tab w:val="left" w:pos="360" w:leader="none"/>
        <w:tab w:val="center" w:pos="4320" w:leader="none"/>
        <w:tab w:val="left" w:pos="4680" w:leader="none"/>
        <w:tab w:val="right" w:pos="8640" w:leader="none"/>
      </w:tabs>
      <w:ind w:firstLine="360" w:start="360" w:end="0"/>
      <w:rPr>
        <w:rFonts w:ascii="CG Times;CG Times" w:hAnsi="CG Times;CG Times" w:cs="CG Times;CG Times"/>
        <w:b/>
        <w:bCs/>
        <w:sz w:val="24"/>
        <w:szCs w:val="24"/>
      </w:rPr>
    </w:pPr>
    <w:r>
      <w:rPr>
        <w:rFonts w:cs="CG Times;CG Times" w:ascii="CG Times;CG Times" w:hAnsi="CG Times;CG Times"/>
        <w:b/>
        <w:bCs/>
        <w:sz w:val="24"/>
        <w:szCs w:val="24"/>
      </w:rPr>
      <w:t>of New York, Inc.</w:t>
      <w:tab/>
      <w:tab/>
      <w:t>(Seventh Revised Leaf No. 7 – Cancelled)</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autoSpaceDE w:val="false"/>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80" w:leader="none"/>
      </w:tabs>
      <w:outlineLvl w:val="0"/>
    </w:pPr>
    <w:rPr>
      <w:rFonts w:ascii="CG Times;CG Times" w:hAnsi="CG Times;CG Times" w:cs="CG Times;CG Times"/>
      <w:sz w:val="24"/>
      <w:szCs w:val="24"/>
    </w:rPr>
  </w:style>
  <w:style w:type="paragraph" w:styleId="Heading2">
    <w:name w:val="heading 2"/>
    <w:basedOn w:val="Normal"/>
    <w:next w:val="Normal"/>
    <w:qFormat/>
    <w:pPr>
      <w:keepNext w:val="true"/>
      <w:numPr>
        <w:ilvl w:val="1"/>
        <w:numId w:val="1"/>
      </w:numPr>
      <w:tabs>
        <w:tab w:val="clear" w:pos="720"/>
        <w:tab w:val="left" w:pos="2880" w:leader="none"/>
      </w:tabs>
      <w:outlineLvl w:val="1"/>
    </w:pPr>
    <w:rPr>
      <w:b/>
      <w:bCs/>
      <w:sz w:val="24"/>
      <w:szCs w:val="24"/>
    </w:rPr>
  </w:style>
  <w:style w:type="paragraph" w:styleId="Heading3">
    <w:name w:val="heading 3"/>
    <w:basedOn w:val="Normal"/>
    <w:next w:val="Normal"/>
    <w:qFormat/>
    <w:pPr>
      <w:keepNext w:val="true"/>
      <w:numPr>
        <w:ilvl w:val="2"/>
        <w:numId w:val="1"/>
      </w:numPr>
      <w:outlineLvl w:val="2"/>
    </w:pPr>
    <w:rPr>
      <w:sz w:val="24"/>
      <w:szCs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2880" w:leader="none"/>
      </w:tabs>
    </w:pPr>
    <w:rPr>
      <w:rFonts w:ascii="CG Times;CG Times" w:hAnsi="CG Times;CG Times" w:cs="CG Times;CG Time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2002-02-01T14:05:00Z</dcterms:created>
  <dc:creator>denise levine</dc:creator>
  <dc:description/>
  <dc:language>en-CA</dc:language>
  <cp:lastModifiedBy>LEVINED</cp:lastModifiedBy>
  <cp:lastPrinted>1999-08-11T11:21:00Z</cp:lastPrinted>
  <dcterms:modified xsi:type="dcterms:W3CDTF">2002-02-01T14:05:00Z</dcterms:modified>
  <cp:revision>2</cp:revision>
  <dc:subject/>
  <dc:title>1</dc:title>
</cp:coreProperties>
</file>