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media/image1.emf" ContentType="image/x-emf"/>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bookmarkStart w:id="0" w:name="zBriefTitle"/>
            <w:bookmarkEnd w:id="0"/>
            <w:r>
              <w:rPr/>
              <w:t>Order Instituting Rulemaking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R.94-04-031</w:t>
            </w:r>
          </w:p>
        </w:tc>
      </w:tr>
      <w:tr>
        <w:trPr/>
        <w:tc>
          <w:tcPr>
            <w:tcW w:w="5040" w:type="dxa"/>
            <w:tcBorders>
              <w:bottom w:val="single" w:sz="6" w:space="0" w:color="000000"/>
            </w:tcBorders>
          </w:tcPr>
          <w:p>
            <w:pPr>
              <w:pStyle w:val="zCaption"/>
              <w:rPr/>
            </w:pPr>
            <w:r>
              <w:rPr/>
              <w:t>Order Instituting Investigation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I.94-04-032</w:t>
            </w:r>
          </w:p>
        </w:tc>
      </w:tr>
    </w:tbl>
    <w:p>
      <w:pPr>
        <w:pStyle w:val="zTitle"/>
        <w:spacing w:before="720" w:after="480"/>
        <w:rPr/>
      </w:pPr>
      <w:r>
        <w:rPr/>
        <w:t>Petition of Southern California Edison Company (U 338-E), et al. for Modification of Decision 97-10-087</w:t>
      </w:r>
    </w:p>
    <w:p>
      <w:pPr>
        <w:pStyle w:val="zAttorneyNames"/>
        <w:rPr/>
      </w:pPr>
      <w:bookmarkStart w:id="1" w:name="zAttorneyName"/>
      <w:bookmarkEnd w:id="1"/>
      <w:r>
        <w:rPr/>
        <w:t>ANN P. COHN</w:t>
      </w:r>
    </w:p>
    <w:p>
      <w:pPr>
        <w:pStyle w:val="zAttorneyNames"/>
        <w:rPr/>
      </w:pPr>
      <w:r>
        <w:rPr/>
        <w:t>MEGAN SCOTT-KAKURES</w:t>
      </w:r>
    </w:p>
    <w:p>
      <w:pPr>
        <w:pStyle w:val="zAttorneyNames"/>
        <w:rPr/>
      </w:pPr>
      <w:r>
        <w:rPr/>
        <w:t>JENNIFER M. TSAO</w:t>
      </w:r>
    </w:p>
    <w:p>
      <w:pPr>
        <w:pStyle w:val="zAttorneyNames"/>
        <w:rPr/>
      </w:pPr>
      <w:r>
        <w:rPr/>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2" w:name="zPhone"/>
      <w:bookmarkEnd w:id="2"/>
      <w:r>
        <w:rPr/>
        <w:t>(626) 302-6855</w:t>
      </w:r>
    </w:p>
    <w:p>
      <w:pPr>
        <w:pStyle w:val="zFacsimile"/>
        <w:rPr/>
      </w:pPr>
      <w:r>
        <w:rPr/>
        <w:t>Facsimile:</w:t>
        <w:tab/>
      </w:r>
      <w:bookmarkStart w:id="3" w:name="zFax"/>
      <w:bookmarkEnd w:id="3"/>
      <w:r>
        <w:rPr/>
        <w:t>(626) 302-2050</w:t>
      </w:r>
    </w:p>
    <w:p>
      <w:pPr>
        <w:pStyle w:val="zEmail"/>
        <w:rPr/>
      </w:pPr>
      <w:r>
        <w:rPr/>
        <w:t>E-mail:</w:t>
        <w:tab/>
      </w:r>
      <w:bookmarkStart w:id="4" w:name="zEmail"/>
      <w:bookmarkEnd w:id="4"/>
      <w:r>
        <w:rPr/>
        <w:t>scottm@sce.com</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November 6, 2000</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6" w:space="0" w:color="000000"/>
            </w:tcBorders>
          </w:tcPr>
          <w:p>
            <w:pPr>
              <w:pStyle w:val="zCaption"/>
              <w:rPr/>
            </w:pPr>
            <w:r>
              <w:rPr/>
              <w:t>Order Instituting Rulemaking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R.94-04-031</w:t>
            </w:r>
          </w:p>
        </w:tc>
      </w:tr>
      <w:tr>
        <w:trPr/>
        <w:tc>
          <w:tcPr>
            <w:tcW w:w="5040" w:type="dxa"/>
            <w:tcBorders>
              <w:bottom w:val="single" w:sz="6" w:space="0" w:color="000000"/>
            </w:tcBorders>
          </w:tcPr>
          <w:p>
            <w:pPr>
              <w:pStyle w:val="zCaption"/>
              <w:rPr/>
            </w:pPr>
            <w:r>
              <w:rPr/>
              <w:t>Order Instituting Investigation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I.94-04-032</w:t>
            </w:r>
          </w:p>
        </w:tc>
      </w:tr>
    </w:tbl>
    <w:p>
      <w:pPr>
        <w:pStyle w:val="Heading1"/>
        <w:ind w:hanging="0" w:start="0"/>
        <w:rPr/>
      </w:pPr>
      <w:r>
        <w:rPr>
          <w:color w:val="0000FF"/>
          <w:u w:val="none"/>
        </w:rPr>
        <w:t>I.</w:t>
        <w:tab/>
      </w:r>
      <w:r>
        <w:rPr/>
        <w:br/>
        <w:t>introduction</w:t>
      </w:r>
    </w:p>
    <w:p>
      <w:pPr>
        <w:pStyle w:val="Heading1Text"/>
        <w:rPr/>
      </w:pPr>
      <w:r>
        <w:rPr/>
        <w:t>Pursuant to Rule 47 of the Rules of Practice and Procedure of the California Public Utilities Commission (Commission), Southern California Edison Company, Pacific Gas and Electric Company, San Diego Gas &amp; Electric Company, [</w:t>
      </w:r>
      <w:r>
        <w:rPr>
          <w:u w:val="single"/>
        </w:rPr>
        <w:t>include other Rule 22 participants</w:t>
      </w:r>
      <w:r>
        <w:rPr/>
        <w:t>] (Petitioners) hereby request that the Commission modify Decision No. 97</w:t>
        <w:noBreakHyphen/>
        <w:t>10</w:t>
        <w:noBreakHyphen/>
        <w:t>087 (D.97</w:t>
        <w:noBreakHyphen/>
        <w:t>10</w:t>
        <w:noBreakHyphen/>
        <w:t xml:space="preserve">087), its Direct Access decision in the above-captioned proceeding.  </w:t>
      </w:r>
    </w:p>
    <w:p>
      <w:pPr>
        <w:pStyle w:val="Heading1Text"/>
        <w:rPr/>
      </w:pPr>
      <w:r>
        <w:rPr/>
        <w:t>Petitioners propose modifications to the Direct Access tariffs for each of California’s three major Utility Distribution Companies (UDCs) – Pacific Gas &amp; electric Company (PG&amp;E), San Diego Gas &amp; Electric Company (SDG&amp;E) and Southern California Edison Company (SCE).  These modifications would be implemented by adding Attachments A, B and C to this Petition as additional appendices to D.97-10-087.  The proposed changes attempt to provide more detail in the direct access tariff regarding what should occur if an Energy Service Provider (ESP) loses its Scheduling Coordinator.</w:t>
      </w:r>
    </w:p>
    <w:p>
      <w:pPr>
        <w:pStyle w:val="Heading1Text"/>
        <w:rPr/>
      </w:pPr>
      <w:r>
        <w:rPr/>
        <w:t xml:space="preserve">Petitioners did not submit this petition within one year from the date of the decision, because the need for additional revisions to the UDCs’ direct access tariffs was recognized only as the result of work experience in the deregulated market and discussions of the Rule 22 Tariff Review Group.  Pursuant to Rule 47, Petitioners respectfully request that the Commission consider this Petition.  </w:t>
      </w:r>
    </w:p>
    <w:p>
      <w:pPr>
        <w:pStyle w:val="Heading1"/>
        <w:ind w:hanging="0" w:start="0"/>
        <w:rPr/>
      </w:pPr>
      <w:r>
        <w:rPr>
          <w:color w:val="0000FF"/>
          <w:u w:val="none"/>
        </w:rPr>
        <w:t>II.</w:t>
        <w:tab/>
      </w:r>
      <w:r>
        <w:rPr/>
        <w:br/>
        <w:t>ATTACHMENTS A, B AND C SHOULD BE added as Appendices to D.97-10-087 to clarify the direct access tariff language</w:t>
      </w:r>
    </w:p>
    <w:p>
      <w:pPr>
        <w:pStyle w:val="Heading2"/>
        <w:rPr/>
      </w:pPr>
      <w:r>
        <w:rPr>
          <w:color w:val="0000FF"/>
          <w:u w:val="none"/>
        </w:rPr>
        <w:t>A.</w:t>
        <w:tab/>
      </w:r>
      <w:r>
        <w:rPr/>
        <w:t>Reason for the Amendment</w:t>
      </w:r>
    </w:p>
    <w:p>
      <w:pPr>
        <w:pStyle w:val="Heading1Text"/>
        <w:rPr/>
      </w:pPr>
      <w:r>
        <w:rPr/>
        <w:t xml:space="preserve">Appendix A to D.97-10-089 formed the basis for each of the UDCs’ direct access tariffs – Rule 22 for PG&amp;E and SCE and Rule 25 for SDG&amp;E (hereafter, collectively “Rule 22”).  Petitioners propose edits to the tariffs to provide more specific direction regarding what should occur when an ESP loses its Scheduling Coordinator.  Appendix A was adopted at the start of the market opening.  As the market has developed, market participants have worked together to develop and fine-tune their direct access processes.  </w:t>
      </w:r>
    </w:p>
    <w:p>
      <w:pPr>
        <w:pStyle w:val="Heading1Text"/>
        <w:rPr/>
      </w:pPr>
      <w:r>
        <w:rPr/>
        <w:t xml:space="preserve">On a number of occasions, market participants have encountered situations where an ESP loses its Scheduling Coordinator and the UDC is not timely informed that the Scheduling Coordinator is no longer responsible for submitting the customer’s load or metered load information required by the ISO tariffs.  The UDCs are then faced with the task of scheduling energy for the ESP’s customers and returning customers to bundled service on an emergency basis.  As a result, the UDCs incur costs that are higher then they would otherwise be if the UDC had more advance notice of the loss of Scheduling Coordinator.  For example, the UDCs may face increased costs due to their inability to hedge their purchases of electricity.  The UDCs may also have to schedule more costly emergency pick-up reads in returning the customer to bundled service prior to the customer’s next regularly scheduled meter read date.  Further, if the lack of notice results in unscheduled energy, all market participants incur increased costs in the form of unaccounted for energy (UFE).  </w:t>
      </w:r>
    </w:p>
    <w:p>
      <w:pPr>
        <w:pStyle w:val="Heading1Text"/>
        <w:rPr/>
      </w:pPr>
      <w:r>
        <w:rPr/>
        <w:t xml:space="preserve">The revisions reflected in this Petition have been resolved through agreement between the parties in the Rule 22 Working Group to address the issues raised above.  </w:t>
      </w:r>
    </w:p>
    <w:p>
      <w:pPr>
        <w:pStyle w:val="Heading2"/>
        <w:rPr/>
      </w:pPr>
      <w:r>
        <w:rPr>
          <w:color w:val="0000FF"/>
          <w:u w:val="none"/>
        </w:rPr>
        <w:t>B.</w:t>
        <w:tab/>
      </w:r>
      <w:r>
        <w:rPr/>
        <w:t>Development and Support of the Petition</w:t>
      </w:r>
    </w:p>
    <w:p>
      <w:pPr>
        <w:pStyle w:val="Heading1Text"/>
        <w:rPr/>
      </w:pPr>
      <w:r>
        <w:rPr/>
        <w:t>Earlier this year, SCE raised the issues relating to the loss of its Scheduling Coordinators at the monthly Rule 22 Working Group meeting.  The participants agreed that the tariff could provide more detail as to what should occur when an ESP loses its Scheduling Coordinator.  SCE proposed tariff modifications and circulated the proposed revisions for comment.  Various participants suggested additional or alternative edits.  After discussion of the various edits at several meetings of the Rule 22 Tariff Review Group, the participants agreed to the revisions reflected on Attachment A.  (Revisions are shown in red-lined strike-out mode).</w:t>
      </w:r>
    </w:p>
    <w:p>
      <w:pPr>
        <w:pStyle w:val="Heading1"/>
        <w:ind w:hanging="0" w:start="0"/>
        <w:rPr/>
      </w:pPr>
      <w:r>
        <w:rPr>
          <w:color w:val="0000FF"/>
          <w:u w:val="none"/>
        </w:rPr>
        <w:t>III.</w:t>
        <w:tab/>
      </w:r>
      <w:r>
        <w:rPr/>
        <w:br/>
        <w:t>proposed modifications</w:t>
      </w:r>
    </w:p>
    <w:p>
      <w:pPr>
        <w:pStyle w:val="Heading1Text"/>
        <w:rPr/>
      </w:pPr>
      <w:r>
        <w:rPr/>
        <w:t>The proposed modifications include the following:</w:t>
      </w:r>
    </w:p>
    <w:p>
      <w:pPr>
        <w:pStyle w:val="Heading2"/>
        <w:rPr/>
      </w:pPr>
      <w:r>
        <w:rPr>
          <w:color w:val="0000FF"/>
          <w:u w:val="none"/>
        </w:rPr>
        <w:t>A.</w:t>
        <w:tab/>
      </w:r>
      <w:r>
        <w:rPr/>
        <w:t>Notification of Loss of Scheduling Coordinator</w:t>
      </w:r>
    </w:p>
    <w:p>
      <w:pPr>
        <w:pStyle w:val="Heading1Text"/>
        <w:rPr/>
      </w:pPr>
      <w:r>
        <w:rPr/>
        <w:t>Section B.2.c of Rule 22 sets forth the requirement that the ESP have a Scheduling Coordinator, but currently does not include any notice or timing requirements with respect to an ESP’s loss of its Scheduling Coordinator.  The UDCs have found that they have a better ability to minimize their costs if the ESP notifies the UDCs in advance that its relationship with its Scheduling Coordinator is terminated.  The earlier the UDC receives notice, the more likely that the UDC will be able to efficiently schedule energy for the ESP’s customers that will no longer be scheduled through the Scheduling Coordinator.  Scheduling the energy for these customers will prevent the energy use from becoming part of the UFE borne by all market participants.  Advance notice also allows the UDC more time to make decisions regarding the purchase of energy for these customers and may allow the UDC to avoid having to purchase all of its energy from the real time market, which could result in higher energy prices for all customers.  Advance notice may also reduce the UDCs costs by allowing the UDC to return customers to bundled service, if necessary, on an orderly basis.</w:t>
      </w:r>
    </w:p>
    <w:p>
      <w:pPr>
        <w:pStyle w:val="Heading1Text"/>
        <w:rPr/>
      </w:pPr>
      <w:r>
        <w:rPr/>
        <w:t>The proposed modifications require an ESP to notify the UDC of its loss of its Scheduling Coordinator at the earlier of:</w:t>
      </w:r>
    </w:p>
    <w:p>
      <w:pPr>
        <w:pStyle w:val="Heading1Text"/>
        <w:numPr>
          <w:ilvl w:val="0"/>
          <w:numId w:val="2"/>
        </w:numPr>
        <w:tabs>
          <w:tab w:val="clear" w:pos="709"/>
          <w:tab w:val="left" w:pos="1080" w:leader="none"/>
        </w:tabs>
        <w:ind w:hanging="360" w:start="1080" w:end="1440"/>
        <w:rPr/>
      </w:pPr>
      <w:r>
        <w:rPr/>
        <w:t>72 hours before the last trade date for which its Scheduling Coordinator will act as the Scheduling Coordinator for the ESP, or</w:t>
      </w:r>
    </w:p>
    <w:p>
      <w:pPr>
        <w:pStyle w:val="Heading1Text"/>
        <w:numPr>
          <w:ilvl w:val="0"/>
          <w:numId w:val="2"/>
        </w:numPr>
        <w:tabs>
          <w:tab w:val="clear" w:pos="709"/>
          <w:tab w:val="left" w:pos="1080" w:leader="none"/>
        </w:tabs>
        <w:ind w:hanging="360" w:start="1080" w:end="1440"/>
        <w:rPr/>
      </w:pPr>
      <w:r>
        <w:rPr/>
        <w:t>the date the ESP receives notification from its Scheduling Coordinator that it will no longer act as the Scheduling Coordinator for the ESP.</w:t>
      </w:r>
    </w:p>
    <w:p>
      <w:pPr>
        <w:pStyle w:val="Heading1Text"/>
        <w:rPr/>
      </w:pPr>
      <w:r>
        <w:rPr/>
        <w:t xml:space="preserve">The proposed modifications also require the ESP to inform the UDC of the last trade date for which its Scheduling Coordinator will perform Scheduling Coordinator duties for the ESP and indicate the name of the Scheduling Coordinator that will replace the prior Scheduling Coordinator, if any, and the trade date that the new Scheduling Coordinator will begin acting as the Scheduling Coordinator for the ESP. </w:t>
      </w:r>
    </w:p>
    <w:p>
      <w:pPr>
        <w:pStyle w:val="Heading2"/>
        <w:rPr/>
      </w:pPr>
      <w:r>
        <w:rPr>
          <w:color w:val="0000FF"/>
          <w:u w:val="none"/>
        </w:rPr>
        <w:t>B.</w:t>
        <w:tab/>
      </w:r>
      <w:r>
        <w:rPr/>
        <w:t>Changes to Rule 22.N.1 to Clarify the Event that Leads to Involuntary Service Changes and N.2 to Clarify Charges Applicable to an Involuntary Service Change</w:t>
      </w:r>
    </w:p>
    <w:p>
      <w:pPr>
        <w:pStyle w:val="Heading1Text"/>
        <w:rPr/>
      </w:pPr>
      <w:r>
        <w:rPr/>
        <w:t xml:space="preserve">Section N.1 of Rule 22 describes the events that lead to an involuntary change of service from the ESP back to bundled service.  Section N.1.e. currently states that a service change is appropriate if “the ESP ceases to perform by failing to provide schedules through a Scheduling Coordinator where such schedules are required.”  The proposed modification to Section N.1.e. seeks to replace this phrase with the following phrase:  “the ESP ceases to perform by failing to submit schedules or other load information for its customers as required by the ISO.”  The proposed modification adds the phrase “or other load information for its customers” because under the current market structure, an ESP can perform its duties by either the submission of schedules or load information to the ISO through its Scheduling Coordinator.  </w:t>
      </w:r>
    </w:p>
    <w:p>
      <w:pPr>
        <w:pStyle w:val="Heading1Text"/>
        <w:rPr/>
      </w:pPr>
      <w:r>
        <w:rPr/>
        <w:t>Section N.2 sets forth the process for an involuntary service change in exigent circumstances.  The proposed modifications clarify that if an involuntary service change is made under the tariff, the ESP shall be charged for the CPUC-approved services performed by the UDC to change or terminate service to the ESP’s customers.  The proposed modifications also clarify that the UDC will cancel the Service Agreement and the ESP may not participate in Direct Access in the future unless the ESP has paid the UDC all prior direct access related charges in full.</w:t>
      </w:r>
      <w:r>
        <w:rPr>
          <w:rStyle w:val="FootnoteCharacters"/>
          <w:rStyle w:val="FootnoteReference"/>
        </w:rPr>
        <w:footnoteReference w:id="2"/>
      </w:r>
    </w:p>
    <w:p>
      <w:pPr>
        <w:pStyle w:val="Heading1"/>
        <w:tabs>
          <w:tab w:val="right" w:pos="0" w:leader="none"/>
        </w:tabs>
        <w:ind w:hanging="0" w:start="0"/>
        <w:rPr/>
      </w:pPr>
      <w:r>
        <w:rPr>
          <w:color w:val="0000FF"/>
          <w:u w:val="none"/>
        </w:rPr>
        <w:t>IV.</w:t>
        <w:tab/>
      </w:r>
      <w:r>
        <w:rPr/>
        <w:br/>
        <w:t>conclusion</w:t>
      </w:r>
    </w:p>
    <w:p>
      <w:pPr>
        <w:pStyle w:val="Heading1Text"/>
        <w:rPr/>
      </w:pPr>
      <w:r>
        <w:rPr/>
        <w:t>The Petitioners all agree that the changes proposed in Attachments A, B and C are appropriate to provide more clarification in the UDCs’ direct access tariffs.  In the interests of consistency and clarity, the Petitioners respectfully request that the Commission grant their Petition, add Attachments A, B and C as Appendices F, G and H to D.97</w:t>
        <w:noBreakHyphen/>
        <w:t>10-087 and direct the UDCs to make the changes to Rule 22 shown in Attachments A, B and C through the advice letter filing process.</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ANN P. COHN</w:t>
      </w:r>
    </w:p>
    <w:p>
      <w:pPr>
        <w:pStyle w:val="zAttorneyNames"/>
        <w:rPr>
          <w:color w:val="0000FF"/>
        </w:rPr>
      </w:pPr>
      <w:r>
        <w:rPr>
          <w:color w:val="0000FF"/>
        </w:rPr>
        <w:t>MEGAN SCOTT-KAKURES</w:t>
      </w:r>
    </w:p>
    <w:p>
      <w:pPr>
        <w:pStyle w:val="zAttorneyNames"/>
        <w:rPr>
          <w:color w:val="0000FF"/>
        </w:rPr>
      </w:pPr>
      <w:r>
        <w:rPr>
          <w:color w:val="0000FF"/>
        </w:rPr>
        <w:t>JENNIFER M. TSAO</w:t>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Jennifer M. Tsao</w:t>
            </w:r>
          </w:p>
        </w:tc>
      </w:tr>
    </w:tbl>
    <w:p>
      <w:pPr>
        <w:pStyle w:val="zAttorneysFor"/>
        <w:spacing w:before="240" w:after="0"/>
        <w:ind w:end="-547"/>
        <w:rPr/>
      </w:pPr>
      <w:r>
        <w:rPr/>
        <w:t>Attorneys for</w:t>
        <w:br/>
        <w:t>SOUTHERN CALIFORNIA EDISON COMPANY</w:t>
      </w:r>
    </w:p>
    <w:p>
      <w:pPr>
        <w:pStyle w:val="zEdisonAddressTitlePage"/>
        <w:rPr>
          <w:color w:val="0000FF"/>
        </w:rPr>
      </w:pPr>
      <w:r>
        <w:rPr>
          <w:color w:val="0000FF"/>
        </w:rPr>
      </w:r>
    </w:p>
    <w:p>
      <w:pPr>
        <w:pStyle w:val="zPhone"/>
        <w:rPr/>
      </w:pPr>
      <w:r>
        <w:rPr/>
        <w:t>19</w:t>
      </w:r>
    </w:p>
    <w:p>
      <w:pPr>
        <w:pStyle w:val="zFacsimile"/>
        <w:rPr/>
      </w:pPr>
      <w:r>
        <w:rPr/>
      </w:r>
    </w:p>
    <w:p>
      <w:pPr>
        <w:pStyle w:val="zEmail"/>
        <w:rPr/>
      </w:pPr>
      <w:r>
        <w:rPr/>
      </w:r>
    </w:p>
    <w:p>
      <w:pPr>
        <w:pStyle w:val="zEmail"/>
        <w:ind w:hanging="3600" w:start="3600" w:end="0"/>
        <w:rPr>
          <w:u w:val="single"/>
        </w:rPr>
      </w:pPr>
      <w:r>
        <w:rPr/>
        <w:tab/>
        <w:t xml:space="preserve">On behalf of:  Southern California Edison Company, Pacific Gas and Electric Company, San Diego Gas &amp; Electric Company, </w:t>
      </w:r>
      <w:r>
        <w:rPr>
          <w:b/>
        </w:rPr>
        <w:t>[add other Rule 22 participants]</w:t>
      </w:r>
    </w:p>
    <w:p>
      <w:pPr>
        <w:pStyle w:val="zEmail"/>
        <w:ind w:start="0" w:end="0"/>
        <w:rPr/>
      </w:pPr>
      <w:r>
        <w:rPr/>
        <w:t>Dated:  November 6, 2000</w:t>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Email"/>
        <w:ind w:start="0" w:end="0"/>
        <w:rPr>
          <w:rFonts w:eastAsia="NewCenturySchlbk;Century Schoolbook"/>
        </w:rPr>
      </w:pPr>
      <w:r>
        <w:rPr>
          <w:rFonts w:eastAsia="NewCenturySchlbk;Century Schoolbook"/>
        </w:rPr>
        <w:t xml:space="preserve"> </w:t>
      </w:r>
    </w:p>
    <w:p>
      <w:pPr>
        <w:pStyle w:val="Normal"/>
        <w:spacing w:lineRule="atLeast" w:line="240" w:before="480" w:after="480"/>
        <w:jc w:val="center"/>
        <w:rPr>
          <w:color w:val="0000FF"/>
          <w:lang w:val="en-CA"/>
        </w:rPr>
      </w:pPr>
      <w:r>
        <w:rPr>
          <w:color w:val="0000FF"/>
          <w:lang w:val="en-CA"/>
        </w:rPr>
        <w:t>November 6, 2000</w:t>
      </w:r>
    </w:p>
    <w:p>
      <w:pPr>
        <w:pStyle w:val="Normal"/>
        <w:spacing w:lineRule="atLeast" w:line="240"/>
        <w:rPr/>
      </w:pPr>
      <w:r>
        <w:rPr/>
        <w:t>Docket Clerk</w:t>
        <w:br/>
        <w:t>California Public Utilities Commission</w:t>
        <w:br/>
        <w:t>505 Van Ness Avenue</w:t>
        <w:br/>
        <w:t>San Francisco, California  94102</w:t>
      </w:r>
    </w:p>
    <w:p>
      <w:pPr>
        <w:pStyle w:val="Re"/>
        <w:rPr>
          <w:b/>
        </w:rPr>
      </w:pPr>
      <w:r>
        <w:rPr>
          <w:b/>
        </w:rPr>
        <w:t>Re:  A.94-04-031/94-04-032</w:t>
      </w:r>
    </w:p>
    <w:p>
      <w:pPr>
        <w:pStyle w:val="Salutation"/>
        <w:rPr/>
      </w:pPr>
      <w:r>
        <w:rPr/>
        <w:t>Dear Docket Clerk:</w:t>
      </w:r>
    </w:p>
    <w:p>
      <w:pPr>
        <w:pStyle w:val="LetterText"/>
        <w:rPr/>
      </w:pPr>
      <w:r>
        <w:rPr/>
        <w:t xml:space="preserve">Enclosed for filing with the Commission are the original and five copies of the </w:t>
      </w:r>
      <w:r>
        <w:rPr>
          <w:b/>
          <w:color w:val="0000FF"/>
          <w:lang w:val="en-CA"/>
        </w:rPr>
        <w:t>PETITION OF SOUTHERN CALIFORNIA EDISON COMPANY (U 338</w:t>
        <w:noBreakHyphen/>
        <w:t>E), ET AL. FOR MODIFICATION OF DECISION 97-10-087</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Jennifer M. Tsao</w:t>
      </w:r>
    </w:p>
    <w:p>
      <w:pPr>
        <w:pStyle w:val="Normal"/>
        <w:spacing w:before="480" w:after="0"/>
        <w:rPr>
          <w:color w:val="0000FF"/>
          <w:sz w:val="16"/>
        </w:rPr>
      </w:pPr>
      <w:r>
        <w:rPr>
          <w:color w:val="0000FF"/>
          <w:sz w:val="16"/>
        </w:rPr>
        <w:t>JMT/scp:</w:t>
      </w:r>
      <w:r>
        <w:rPr>
          <w:color w:val="0000FF"/>
          <w:sz w:val="16"/>
          <w:lang w:val="en-CA"/>
        </w:rPr>
        <w:t>LW003682877</w:t>
      </w:r>
    </w:p>
    <w:p>
      <w:pPr>
        <w:pStyle w:val="Enclosures"/>
        <w:rPr/>
      </w:pPr>
      <w:r>
        <w:rPr/>
        <w:t>Enclosures</w:t>
      </w:r>
    </w:p>
    <w:p>
      <w:pPr>
        <w:pStyle w:val="cc"/>
        <w:rPr/>
      </w:pPr>
      <w:r>
        <w:rPr/>
        <w:t>cc:</w:t>
        <w:tab/>
        <w:tab/>
        <w:t>All Parties of Record</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ind w:firstLine="720" w:end="0"/>
        <w:rPr/>
      </w:pPr>
      <w:r>
        <w:rPr/>
        <w:t>(U 338-E)</w:t>
        <w:br/>
        <w:tab/>
        <w:t>ALJ John Wong</w:t>
        <w:br/>
        <w:tab/>
        <w:t>Steve Roscow, CPUC, Energy Division</w:t>
      </w:r>
    </w:p>
    <w:p>
      <w:pPr>
        <w:pStyle w:val="heading11"/>
        <w:spacing w:lineRule="atLeast" w:line="240" w:before="480" w:after="720"/>
        <w:rPr/>
      </w:pPr>
      <w:bookmarkStart w:id="15" w:name="zAutoNum"/>
      <w:bookmarkEnd w:id="15"/>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b/>
          <w:lang w:val="en-CA"/>
        </w:rPr>
        <w:t>PETITION OF SOUTHERN CALIFORNIA EDISON COMPANY (U 338-E), ET AL. FOR MODIFICATION OF DECISION 97-10-087</w:t>
      </w:r>
      <w:r>
        <w:rPr>
          <w:b/>
        </w:rPr>
        <w:t xml:space="preserve"> </w:t>
      </w:r>
      <w:r>
        <w:rPr/>
        <w:t>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6f"/>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6f"/>
      </w:r>
      <w:r>
        <w:rPr/>
        <w:tab/>
        <w:t>Transmitting the copies via facsimile, modem, or other electronic means (Via Electronic Means).</w:t>
      </w:r>
    </w:p>
    <w:p>
      <w:pPr>
        <w:pStyle w:val="Normal"/>
        <w:ind w:firstLine="720" w:end="0"/>
        <w:rPr/>
      </w:pPr>
      <w:bookmarkStart w:id="16" w:name="zCOSDate"/>
      <w:bookmarkEnd w:id="16"/>
      <w:r>
        <w:rPr/>
        <w:t xml:space="preserve">Executed </w:t>
      </w:r>
      <w:r>
        <w:rPr>
          <w:b/>
          <w:color w:val="0000FF"/>
          <w:lang w:val="en-CA"/>
        </w:rPr>
        <w:t>November 6, 2000</w:t>
      </w:r>
      <w:r>
        <w:rPr/>
        <w:t>, at Rosemead, California.</w:t>
      </w:r>
    </w:p>
    <w:p>
      <w:pPr>
        <w:pStyle w:val="Normal"/>
        <w:keepNext w:val="true"/>
        <w:keepLines/>
        <w:spacing w:before="480" w:after="0"/>
        <w:ind w:start="3600" w:end="-547"/>
        <w:rPr/>
      </w:pPr>
      <w:r>
        <w:rPr/>
        <w:t>______________________________________________</w:t>
        <w:br/>
      </w:r>
      <w:bookmarkStart w:id="17" w:name="zSignatureName"/>
      <w:bookmarkEnd w:id="17"/>
      <w:r>
        <w:rPr/>
        <w:t>Anthony Archer</w:t>
        <w:br/>
        <w:t>Project Analyst</w:t>
        <w:br/>
        <w:t>SOUTHERN CALIFORNIA EDISON COMPANY</w:t>
      </w:r>
    </w:p>
    <w:p>
      <w:pPr>
        <w:pStyle w:val="zEdisonAddressCOSPage1"/>
        <w:rPr/>
      </w:pPr>
      <w:r>
        <w:rPr/>
      </w:r>
    </w:p>
    <w:p>
      <w:pPr>
        <w:pStyle w:val="zEdisonAddressCOSPage1"/>
        <w:rPr/>
      </w:pPr>
      <w:bookmarkStart w:id="18" w:name="zCOSAddress"/>
      <w:bookmarkEnd w:id="18"/>
      <w:r>
        <w:rPr/>
        <w:t>2244 Walnut Grove Avenue</w:t>
      </w:r>
    </w:p>
    <w:p>
      <w:pPr>
        <w:pStyle w:val="zEdisonAddressCOSPage1"/>
        <w:rPr/>
      </w:pPr>
      <w:r>
        <w:rPr/>
        <w:t>Post Office Box 800</w:t>
      </w:r>
    </w:p>
    <w:p>
      <w:pPr>
        <w:pStyle w:val="zEdisonAddressCOSPage1"/>
        <w:rPr/>
      </w:pPr>
      <w:r>
        <w:rPr/>
        <w:t>Rosemead, California  91770</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Normal"/>
        <w:rPr/>
      </w:pPr>
      <w:r>
        <w:rPr/>
      </w:r>
    </w:p>
    <w:p>
      <w:pPr>
        <w:pStyle w:val="Normal"/>
        <w:jc w:val="center"/>
        <w:rPr>
          <w:b/>
          <w:sz w:val="32"/>
        </w:rPr>
      </w:pPr>
      <w:r>
        <w:rPr>
          <w:b/>
          <w:sz w:val="32"/>
        </w:rPr>
        <w:t>ATTACHMENT A</w:t>
      </w:r>
      <w:r>
        <w:br w:type="page"/>
      </w:r>
    </w:p>
    <w:p>
      <w:pPr>
        <w:pStyle w:val="Normal"/>
        <w:jc w:val="center"/>
        <w:rPr>
          <w:b/>
          <w:sz w:val="32"/>
        </w:rPr>
      </w:pPr>
      <w:r>
        <w:rPr>
          <w:b/>
          <w:sz w:val="32"/>
        </w:rPr>
        <w:t>ATTACHMENT B</w:t>
      </w:r>
      <w:r>
        <w:br w:type="page"/>
      </w:r>
    </w:p>
    <w:p>
      <w:pPr>
        <w:pStyle w:val="Normal"/>
        <w:jc w:val="center"/>
        <w:rPr>
          <w:b/>
          <w:sz w:val="32"/>
        </w:rPr>
      </w:pPr>
      <w:r>
        <w:rPr>
          <w:b/>
          <w:sz w:val="32"/>
        </w:rPr>
        <w:t>ATTACHMENT C</w:t>
      </w:r>
    </w:p>
    <w:p>
      <w:pPr>
        <w:pStyle w:val="Normal"/>
        <w:rPr>
          <w:b/>
          <w:sz w:val="32"/>
        </w:rPr>
      </w:pPr>
      <w:r>
        <w:rPr>
          <w:b/>
          <w:sz w:val="32"/>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start="1"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altName w:val="Century Schoolboo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altName w:val="Arial 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rPr/>
    </w:pPr>
    <w:r>
      <w:rPr/>
      <w:t>LW003682877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97485"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197485" cy="13462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5.55pt;height:10.6pt;mso-wrap-distance-left:0pt;mso-wrap-distance-right:0pt;mso-wrap-distance-top:0pt;mso-wrap-distance-bottom:0pt;margin-top:0.05pt;mso-position-vertical-relative:text;margin-left:452.4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2" w:name="zPOBox"/>
    <w:bookmarkEnd w:id="12"/>
    <w:r>
      <w:rPr>
        <w:sz w:val="16"/>
      </w:rPr>
      <w:t>800     2244 Walnut Grove Ave.     Rosemead, California 91770</w:t>
      <w:tab/>
    </w:r>
    <w:bookmarkStart w:id="13" w:name="zPhoneNumber"/>
    <w:bookmarkEnd w:id="13"/>
    <w:r>
      <w:rPr>
        <w:sz w:val="16"/>
      </w:rPr>
      <w:t xml:space="preserve">(626) 302-6819     Fax </w:t>
    </w:r>
    <w:bookmarkStart w:id="14" w:name="zFaxNumber"/>
    <w:bookmarkEnd w:id="14"/>
    <w:r>
      <w:rPr>
        <w:sz w:val="16"/>
      </w:rPr>
      <w:t xml:space="preserve">(626) 302-2050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The precise language proposed by this Petition is as follows:</w:t>
      </w:r>
    </w:p>
    <w:p>
      <w:pPr>
        <w:pStyle w:val="FootnoteText"/>
        <w:rPr/>
      </w:pPr>
      <w:r>
        <w:rPr/>
      </w:r>
    </w:p>
    <w:p>
      <w:pPr>
        <w:pStyle w:val="FootnoteText"/>
        <w:ind w:start="938" w:end="1170"/>
        <w:rPr/>
      </w:pPr>
      <w:r>
        <w:rPr/>
        <w:tab/>
        <w:tab/>
        <w:t>When such a change is due to the ESP’s termination as an ESP or its failure to notify SCE as specified in Section B.3.c., the ESP shall be charged for the CPUC-approved services performed by SCE to change or terminate service to the ESP’s customers.  In addition, SCE will cancel the ESP Service Agreement with the ESP.  After the termination of the ESP Service Agreement, the ESP may not participate in Direct Access with SCE unless the ESP has paid SCE all prior Direct Access related charged in full.  All conditions, rights and obligations set forth in the applicable ESP Service Agreement between SCE and the ESP shall continue to apply.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NewCenturySchlbk;Century Schoolbook"/>
      </w:rPr>
    </w:pPr>
    <w:r>
      <w:rPr>
        <w:rFonts w:eastAsia="NewCenturySchlbk;Century Schoolbook"/>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320" w:leader="none"/>
        <w:tab w:val="center" w:pos="8640" w:leader="none"/>
      </w:tabs>
      <w:rPr>
        <w:u w:val="single"/>
      </w:rPr>
    </w:pPr>
    <w:r>
      <w:rPr>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sz w:val="20"/>
            </w:rPr>
          </w:pPr>
          <w:bookmarkStart w:id="8" w:name="zHeaderLogo"/>
          <w:bookmarkEnd w:id="8"/>
          <w:r>
            <w:rPr>
              <w:smallCaps/>
              <w:sz w:val="20"/>
            </w:rPr>
            <w:drawing>
              <wp:inline distT="0" distB="0" distL="0" distR="0">
                <wp:extent cx="1651000" cy="622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9" w:name="zHeaderAuthorName"/>
          <w:bookmarkEnd w:id="9"/>
          <w:r>
            <w:rPr/>
            <w:t>Jennifer M. Tsao</w:t>
          </w:r>
        </w:p>
        <w:p>
          <w:pPr>
            <w:pStyle w:val="zHeaderAuthorTitle"/>
            <w:rPr/>
          </w:pPr>
          <w:bookmarkStart w:id="10" w:name="zHeaderAuthorTitle"/>
          <w:bookmarkEnd w:id="10"/>
          <w:r>
            <w:rPr/>
            <w:t>Attorney</w:t>
          </w:r>
        </w:p>
        <w:p>
          <w:pPr>
            <w:pStyle w:val="zHeaderAuthorTitle"/>
            <w:rPr/>
          </w:pPr>
          <w:bookmarkStart w:id="11" w:name="zHeaderAuthorEmail"/>
          <w:bookmarkEnd w:id="11"/>
          <w:r>
            <w:rPr/>
            <w:t>jennifertsao@sce.com</w:t>
          </w:r>
        </w:p>
      </w:tc>
    </w:tr>
  </w:tbl>
  <w:p>
    <w:pPr>
      <w:pStyle w:val="Normal"/>
      <w:rPr/>
    </w:pPr>
    <w:r>
      <w:rPr/>
    </w:r>
  </w:p>
  <w:p>
    <w:pPr>
      <w:pStyle w:val="Normal"/>
      <w:tabs>
        <w:tab w:val="clear" w:pos="709"/>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r>
  </w:tbl>
  <w:p>
    <w:pPr>
      <w:pStyle w:val="Normal"/>
      <w:tabs>
        <w:tab w:val="clear" w:pos="709"/>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r>
  </w:tbl>
  <w:p>
    <w:pPr>
      <w:pStyle w:val="Normal"/>
      <w:tabs>
        <w:tab w:val="clear" w:pos="709"/>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Century Schoolbook" w:hAnsi="NewCenturySchlbk;Century Schoolbook" w:eastAsia="Times New Roman" w:cs="NewCenturySchlbk;Century Schoolbook"/>
      <w:color w:val="auto"/>
      <w:sz w:val="24"/>
      <w:szCs w:val="20"/>
      <w:lang w:val="en-US" w:eastAsia="zh-CN" w:bidi="hi-IN"/>
    </w:rPr>
  </w:style>
  <w:style w:type="paragraph" w:styleId="Heading1">
    <w:name w:val="heading 1"/>
    <w:basedOn w:val="Normal"/>
    <w:next w:val="Heading1Text"/>
    <w:qFormat/>
    <w:pPr>
      <w:keepNext w:val="true"/>
      <w:keepLines/>
      <w:numPr>
        <w:ilvl w:val="0"/>
        <w:numId w:val="1"/>
      </w:numPr>
      <w:tabs>
        <w:tab w:val="clear" w:pos="709"/>
        <w:tab w:val="left" w:pos="0" w:leader="none"/>
      </w:tabs>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tabs>
        <w:tab w:val="clear" w:pos="0"/>
        <w:tab w:val="left" w:pos="720" w:leader="none"/>
      </w:tabs>
      <w:ind w:hanging="720" w:start="720" w:end="0"/>
      <w:jc w:val="start"/>
      <w:outlineLvl w:val="1"/>
    </w:pPr>
    <w:rPr>
      <w:caps w:val="false"/>
      <w:smallCaps w:val="false"/>
    </w:rPr>
  </w:style>
  <w:style w:type="paragraph" w:styleId="Heading3">
    <w:name w:val="heading 3"/>
    <w:basedOn w:val="Heading2"/>
    <w:next w:val="Heading3Text"/>
    <w:qFormat/>
    <w:pPr>
      <w:numPr>
        <w:ilvl w:val="2"/>
        <w:numId w:val="1"/>
      </w:numPr>
      <w:tabs>
        <w:tab w:val="clear" w:pos="720"/>
        <w:tab w:val="left" w:pos="0" w:leader="none"/>
      </w:tabs>
      <w:ind w:hanging="720" w:start="1440" w:end="0"/>
      <w:outlineLvl w:val="2"/>
    </w:pPr>
    <w:rPr/>
  </w:style>
  <w:style w:type="paragraph" w:styleId="Heading4">
    <w:name w:val="heading 4"/>
    <w:basedOn w:val="Heading2"/>
    <w:next w:val="Heading4Text"/>
    <w:qFormat/>
    <w:pPr>
      <w:numPr>
        <w:ilvl w:val="3"/>
        <w:numId w:val="1"/>
      </w:numPr>
      <w:tabs>
        <w:tab w:val="clear" w:pos="720"/>
        <w:tab w:val="left" w:pos="0" w:leader="none"/>
      </w:tabs>
      <w:ind w:hanging="720" w:start="2160" w:end="0"/>
      <w:outlineLvl w:val="3"/>
    </w:pPr>
    <w:rPr/>
  </w:style>
  <w:style w:type="paragraph" w:styleId="Heading5">
    <w:name w:val="heading 5"/>
    <w:basedOn w:val="Heading2"/>
    <w:next w:val="Heading5Text"/>
    <w:qFormat/>
    <w:pPr>
      <w:numPr>
        <w:ilvl w:val="4"/>
        <w:numId w:val="1"/>
      </w:numPr>
      <w:tabs>
        <w:tab w:val="clear" w:pos="720"/>
        <w:tab w:val="left" w:pos="0" w:leader="none"/>
      </w:tabs>
      <w:ind w:hanging="720" w:start="2880" w:end="0"/>
      <w:outlineLvl w:val="4"/>
    </w:pPr>
    <w:rPr/>
  </w:style>
  <w:style w:type="paragraph" w:styleId="Heading6">
    <w:name w:val="heading 6"/>
    <w:basedOn w:val="Heading2"/>
    <w:next w:val="Heading6Text"/>
    <w:qFormat/>
    <w:pPr>
      <w:numPr>
        <w:ilvl w:val="5"/>
        <w:numId w:val="1"/>
      </w:numPr>
      <w:tabs>
        <w:tab w:val="clear" w:pos="720"/>
        <w:tab w:val="left" w:pos="0" w:leader="none"/>
      </w:tabs>
      <w:ind w:hanging="720" w:start="3600" w:end="0"/>
      <w:outlineLvl w:val="5"/>
    </w:pPr>
    <w:rPr/>
  </w:style>
  <w:style w:type="paragraph" w:styleId="Heading7">
    <w:name w:val="heading 7"/>
    <w:basedOn w:val="Heading2"/>
    <w:next w:val="Heading7Text"/>
    <w:qFormat/>
    <w:pPr>
      <w:numPr>
        <w:ilvl w:val="6"/>
        <w:numId w:val="1"/>
      </w:numPr>
      <w:tabs>
        <w:tab w:val="clear" w:pos="720"/>
        <w:tab w:val="left" w:pos="0" w:leader="none"/>
      </w:tabs>
      <w:ind w:hanging="720" w:start="4320" w:end="0"/>
      <w:outlineLvl w:val="6"/>
    </w:pPr>
    <w:rPr/>
  </w:style>
  <w:style w:type="paragraph" w:styleId="Heading8">
    <w:name w:val="heading 8"/>
    <w:basedOn w:val="Heading2"/>
    <w:next w:val="Heading8Text"/>
    <w:qFormat/>
    <w:pPr>
      <w:numPr>
        <w:ilvl w:val="7"/>
        <w:numId w:val="1"/>
      </w:numPr>
      <w:tabs>
        <w:tab w:val="clear" w:pos="720"/>
        <w:tab w:val="left" w:pos="0" w:leader="none"/>
      </w:tabs>
      <w:ind w:hanging="720" w:start="5040" w:end="0"/>
      <w:outlineLvl w:val="7"/>
    </w:pPr>
    <w:rPr/>
  </w:style>
  <w:style w:type="paragraph" w:styleId="Heading9">
    <w:name w:val="heading 9"/>
    <w:basedOn w:val="Heading2"/>
    <w:next w:val="Heading9Text"/>
    <w:qFormat/>
    <w:pPr>
      <w:numPr>
        <w:ilvl w:val="8"/>
        <w:numId w:val="1"/>
      </w:numPr>
      <w:tabs>
        <w:tab w:val="clear" w:pos="720"/>
        <w:tab w:val="left" w:pos="0" w:leader="none"/>
      </w:tabs>
      <w:ind w:hanging="720" w:start="5760" w:end="0"/>
      <w:outlineLvl w:val="8"/>
    </w:pPr>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Century Schoolbook" w:hAnsi="NewCenturySchlbk;Century Schoolbook" w:cs="NewCenturySchlbk;Century Schoolboo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09"/>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clear" w:pos="709"/>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clear" w:pos="709"/>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09"/>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ind w:hanging="0" w:start="-720" w:end="0"/>
    </w:pPr>
    <w:rPr>
      <w:sz w:val="12"/>
    </w:rPr>
  </w:style>
  <w:style w:type="paragraph" w:styleId="Footer">
    <w:name w:val="footer"/>
    <w:basedOn w:val="Header"/>
    <w:pPr>
      <w:tabs>
        <w:tab w:val="clear" w:pos="709"/>
        <w:tab w:val="left" w:pos="1620" w:leader="none"/>
        <w:tab w:val="left" w:pos="3780" w:leader="none"/>
        <w:tab w:val="left" w:pos="6300" w:leader="none"/>
        <w:tab w:val="left" w:pos="7650" w:leader="none"/>
      </w:tabs>
      <w:ind w:hanging="0" w:start="288" w:end="0"/>
    </w:pPr>
    <w:rPr>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09"/>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tabs>
        <w:tab w:val="clear" w:pos="0"/>
      </w:tabs>
      <w:spacing w:before="0" w:after="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09"/>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09"/>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b/>
      <w:color w:val="000000"/>
      <w:sz w:val="18"/>
    </w:rPr>
  </w:style>
  <w:style w:type="paragraph" w:styleId="zHeaderAuthorTitle">
    <w:name w:val="zHeaderAuthorTitle"/>
    <w:basedOn w:val="Normal"/>
    <w:qFormat/>
    <w:pPr>
      <w:ind w:hanging="0" w:start="720" w:end="0"/>
    </w:pPr>
    <w:rPr>
      <w:color w:val="000000"/>
      <w:spacing w:val="-1"/>
      <w:sz w:val="18"/>
    </w:rPr>
  </w:style>
  <w:style w:type="paragraph" w:styleId="zHeaderLogo">
    <w:name w:val="zHeaderLogo"/>
    <w:basedOn w:val="Normal"/>
    <w:next w:val="Normal"/>
    <w:qFormat/>
    <w:pPr>
      <w:spacing w:before="120" w:after="0"/>
    </w:pPr>
    <w:rPr>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Arial Narrow" w:hAnsi="Helvetica-Narrow;Arial Narrow" w:cs="Helvetica-Narrow;Arial 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4.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2000-11-08T23:55:00Z</dcterms:created>
  <dc:creator>Standard Configuration</dc:creator>
  <dc:description/>
  <dc:language>en-CA</dc:language>
  <cp:lastModifiedBy>tsaojm</cp:lastModifiedBy>
  <cp:lastPrinted>2000-11-06T14:55:00Z</cp:lastPrinted>
  <dcterms:modified xsi:type="dcterms:W3CDTF">2000-11-08T23:55:00Z</dcterms:modified>
  <cp:revision>1</cp:revision>
  <dc:subject/>
  <dc:title>SCE Brief</dc:title>
</cp:coreProperties>
</file>