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GUIDANCE NOTES FOR CRITERIA SPREADSHEET</w:t>
      </w:r>
    </w:p>
    <w:p>
      <w:pPr>
        <w:pStyle w:val="Normal"/>
        <w:rPr/>
      </w:pPr>
      <w:r>
        <w:rPr/>
      </w:r>
    </w:p>
    <w:p>
      <w:pPr>
        <w:pStyle w:val="Normal"/>
        <w:rPr/>
      </w:pPr>
      <w:r>
        <w:rPr/>
      </w:r>
    </w:p>
    <w:p>
      <w:pPr>
        <w:pStyle w:val="Heading2"/>
        <w:ind w:hanging="0" w:start="0"/>
        <w:rPr>
          <w:b/>
        </w:rPr>
      </w:pPr>
      <w:r>
        <w:rPr>
          <w:b/>
        </w:rPr>
        <w:t>CATEGORIES OF EMPLOYEES</w:t>
      </w:r>
    </w:p>
    <w:p>
      <w:pPr>
        <w:pStyle w:val="Normal"/>
        <w:rPr>
          <w:b/>
        </w:rPr>
      </w:pPr>
      <w:r>
        <w:rPr>
          <w:b/>
        </w:rPr>
      </w:r>
    </w:p>
    <w:p>
      <w:pPr>
        <w:pStyle w:val="Normal"/>
        <w:rPr/>
      </w:pPr>
      <w:r>
        <w:rPr/>
        <w:t>The review should be undertaken separately for the following groups of employees:-</w:t>
      </w:r>
    </w:p>
    <w:p>
      <w:pPr>
        <w:pStyle w:val="Normal"/>
        <w:rPr/>
      </w:pPr>
      <w:r>
        <w:rPr/>
      </w:r>
    </w:p>
    <w:p>
      <w:pPr>
        <w:pStyle w:val="Heading1"/>
        <w:ind w:hanging="0" w:start="0"/>
        <w:rPr/>
      </w:pPr>
      <w:r>
        <w:rPr/>
        <w:t xml:space="preserve">1. “CLERICAL STAFF”  - </w:t>
      </w:r>
      <w:r>
        <w:rPr>
          <w:b w:val="false"/>
          <w:bCs/>
        </w:rPr>
        <w:t>Staff in the following Job Grades with at least 1 PRC ranking:-</w:t>
      </w:r>
    </w:p>
    <w:p>
      <w:pPr>
        <w:pStyle w:val="Normal"/>
        <w:rPr/>
      </w:pPr>
      <w:r>
        <w:rPr/>
      </w:r>
    </w:p>
    <w:tbl>
      <w:tblPr>
        <w:tblW w:w="4480" w:type="dxa"/>
        <w:jc w:val="start"/>
        <w:tblInd w:w="1440" w:type="dxa"/>
        <w:tblLayout w:type="fixed"/>
        <w:tblCellMar>
          <w:top w:w="0" w:type="dxa"/>
          <w:start w:w="108" w:type="dxa"/>
          <w:bottom w:w="0" w:type="dxa"/>
          <w:end w:w="108" w:type="dxa"/>
        </w:tblCellMar>
      </w:tblPr>
      <w:tblGrid>
        <w:gridCol w:w="2026"/>
        <w:gridCol w:w="2454"/>
      </w:tblGrid>
      <w:tr>
        <w:trPr/>
        <w:tc>
          <w:tcPr>
            <w:tcW w:w="2026" w:type="dxa"/>
            <w:tcBorders>
              <w:top w:val="single" w:sz="4" w:space="0" w:color="000000"/>
              <w:start w:val="single" w:sz="4" w:space="0" w:color="000000"/>
              <w:bottom w:val="single" w:sz="4" w:space="0" w:color="000000"/>
              <w:end w:val="single" w:sz="4" w:space="0" w:color="000000"/>
            </w:tcBorders>
          </w:tcPr>
          <w:p>
            <w:pPr>
              <w:pStyle w:val="Normal"/>
              <w:rPr/>
            </w:pPr>
            <w:r>
              <w:rPr/>
              <w:t>Assistants</w:t>
            </w:r>
          </w:p>
        </w:tc>
        <w:tc>
          <w:tcPr>
            <w:tcW w:w="2454" w:type="dxa"/>
            <w:tcBorders>
              <w:top w:val="single" w:sz="4" w:space="0" w:color="000000"/>
              <w:start w:val="single" w:sz="4" w:space="0" w:color="000000"/>
              <w:bottom w:val="single" w:sz="4" w:space="0" w:color="000000"/>
              <w:end w:val="single" w:sz="4" w:space="0" w:color="000000"/>
            </w:tcBorders>
          </w:tcPr>
          <w:p>
            <w:pPr>
              <w:pStyle w:val="Normal"/>
              <w:rPr/>
            </w:pPr>
            <w:r>
              <w:rPr/>
              <w:t>Administrators</w:t>
            </w:r>
          </w:p>
        </w:tc>
      </w:tr>
      <w:tr>
        <w:trPr/>
        <w:tc>
          <w:tcPr>
            <w:tcW w:w="2026" w:type="dxa"/>
            <w:tcBorders>
              <w:top w:val="single" w:sz="4" w:space="0" w:color="000000"/>
              <w:start w:val="single" w:sz="4" w:space="0" w:color="000000"/>
              <w:bottom w:val="single" w:sz="4" w:space="0" w:color="000000"/>
              <w:end w:val="single" w:sz="4" w:space="0" w:color="000000"/>
            </w:tcBorders>
          </w:tcPr>
          <w:p>
            <w:pPr>
              <w:pStyle w:val="Normal"/>
              <w:rPr/>
            </w:pPr>
            <w:r>
              <w:rPr/>
              <w:t>Senior Assistants</w:t>
            </w:r>
          </w:p>
        </w:tc>
        <w:tc>
          <w:tcPr>
            <w:tcW w:w="2454" w:type="dxa"/>
            <w:tcBorders>
              <w:top w:val="single" w:sz="4" w:space="0" w:color="000000"/>
              <w:start w:val="single" w:sz="4" w:space="0" w:color="000000"/>
              <w:bottom w:val="single" w:sz="4" w:space="0" w:color="000000"/>
              <w:end w:val="single" w:sz="4" w:space="0" w:color="000000"/>
            </w:tcBorders>
          </w:tcPr>
          <w:p>
            <w:pPr>
              <w:pStyle w:val="Normal"/>
              <w:rPr/>
            </w:pPr>
            <w:r>
              <w:rPr/>
              <w:t>Senior Administrators</w:t>
            </w:r>
          </w:p>
        </w:tc>
      </w:tr>
    </w:tbl>
    <w:p>
      <w:pPr>
        <w:pStyle w:val="Normal"/>
        <w:rPr/>
      </w:pPr>
      <w:r>
        <w:rPr/>
      </w:r>
    </w:p>
    <w:p>
      <w:pPr>
        <w:pStyle w:val="Heading1"/>
        <w:ind w:hanging="0" w:start="0"/>
        <w:rPr/>
      </w:pPr>
      <w:r>
        <w:rPr/>
        <w:t xml:space="preserve">2. “JUNIOR SPECIALISTS +” - </w:t>
      </w:r>
      <w:r>
        <w:rPr>
          <w:b w:val="false"/>
          <w:bCs/>
        </w:rPr>
        <w:t>Staff in the following Job Grades with at least 1 PRC ranking:-</w:t>
      </w:r>
    </w:p>
    <w:p>
      <w:pPr>
        <w:pStyle w:val="Normal"/>
        <w:rPr>
          <w:b/>
          <w:bCs/>
        </w:rPr>
      </w:pPr>
      <w:r>
        <w:rPr>
          <w:b/>
          <w:bCs/>
        </w:rPr>
      </w:r>
    </w:p>
    <w:tbl>
      <w:tblPr>
        <w:tblW w:w="4536" w:type="dxa"/>
        <w:jc w:val="start"/>
        <w:tblInd w:w="1384" w:type="dxa"/>
        <w:tblLayout w:type="fixed"/>
        <w:tblCellMar>
          <w:top w:w="0" w:type="dxa"/>
          <w:start w:w="108" w:type="dxa"/>
          <w:bottom w:w="0" w:type="dxa"/>
          <w:end w:w="108" w:type="dxa"/>
        </w:tblCellMar>
      </w:tblPr>
      <w:tblGrid>
        <w:gridCol w:w="2268"/>
        <w:gridCol w:w="2268"/>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Junior Specialists</w:t>
            </w:r>
          </w:p>
        </w:tc>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 xml:space="preserve">Managers </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Specialists</w:t>
            </w:r>
          </w:p>
        </w:tc>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Directors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Senior Specialists</w:t>
            </w:r>
          </w:p>
        </w:tc>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Senior Directors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Analysts</w:t>
            </w:r>
          </w:p>
        </w:tc>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Vice Presidents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Associates</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ing1"/>
        <w:ind w:hanging="0" w:start="0"/>
        <w:rPr/>
      </w:pPr>
      <w:r>
        <w:rPr/>
        <w:t xml:space="preserve">3. “NEW STARTERS” - </w:t>
      </w:r>
      <w:r>
        <w:rPr>
          <w:b w:val="false"/>
          <w:bCs/>
        </w:rPr>
        <w:t>All New Starters with no PRC ranking.</w:t>
      </w:r>
    </w:p>
    <w:p>
      <w:pPr>
        <w:pStyle w:val="Normal"/>
        <w:rPr/>
      </w:pPr>
      <w:r>
        <w:rPr/>
      </w:r>
    </w:p>
    <w:p>
      <w:pPr>
        <w:pStyle w:val="Normal"/>
        <w:rPr/>
      </w:pPr>
      <w:r>
        <w:rPr/>
        <w:t>This is because the PRC criteria vary for each of the above groups as employees below junior specialist were rated 1–3 not 1-5 and new starters were not rated.  Once the 3 lists have been completed they can all be compared using the Weighted Total Score as a Percentage of the Maximum total (final column on spreadsheet).</w:t>
      </w:r>
    </w:p>
    <w:p>
      <w:pPr>
        <w:pStyle w:val="Normal"/>
        <w:rPr/>
      </w:pPr>
      <w:r>
        <w:rPr/>
      </w:r>
    </w:p>
    <w:p>
      <w:pPr>
        <w:pStyle w:val="Normal"/>
        <w:rPr/>
      </w:pPr>
      <w:r>
        <w:rPr/>
      </w:r>
    </w:p>
    <w:p>
      <w:pPr>
        <w:pStyle w:val="Heading2"/>
        <w:ind w:hanging="0" w:start="0"/>
        <w:rPr>
          <w:b/>
        </w:rPr>
      </w:pPr>
      <w:r>
        <w:rPr>
          <w:b/>
        </w:rPr>
        <w:t>CORE CRITERIA</w:t>
      </w:r>
    </w:p>
    <w:p>
      <w:pPr>
        <w:pStyle w:val="Normal"/>
        <w:rPr>
          <w:b/>
        </w:rPr>
      </w:pPr>
      <w:r>
        <w:rPr>
          <w:b/>
        </w:rPr>
      </w:r>
    </w:p>
    <w:p>
      <w:pPr>
        <w:pStyle w:val="Heading1"/>
        <w:ind w:hanging="0" w:start="0"/>
        <w:rPr/>
      </w:pPr>
      <w:r>
        <w:rPr/>
        <w:t>PRC</w:t>
      </w:r>
    </w:p>
    <w:p>
      <w:pPr>
        <w:pStyle w:val="Normal"/>
        <w:rPr/>
      </w:pPr>
      <w:r>
        <w:rPr/>
      </w:r>
    </w:p>
    <w:p>
      <w:pPr>
        <w:pStyle w:val="Normal"/>
        <w:rPr/>
      </w:pPr>
      <w:r>
        <w:rPr>
          <w:i/>
        </w:rPr>
        <w:t xml:space="preserve">Scoring </w:t>
      </w:r>
      <w:r>
        <w:rPr/>
        <w:t>– The PRC rating for midyear 2001, i.e. between 1 and 5 for staff who are junior specialists and above; between 1 and 3 for others.</w:t>
      </w:r>
    </w:p>
    <w:p>
      <w:pPr>
        <w:pStyle w:val="Normal"/>
        <w:rPr/>
      </w:pPr>
      <w:r>
        <w:rPr/>
      </w:r>
    </w:p>
    <w:p>
      <w:pPr>
        <w:pStyle w:val="Normal"/>
        <w:rPr/>
      </w:pPr>
      <w:r>
        <w:rPr>
          <w:i/>
        </w:rPr>
        <w:t>Weighting</w:t>
      </w:r>
      <w:r>
        <w:rPr/>
        <w:t xml:space="preserve"> – The PRC weighting is fixed at 5.  The Business Unit Head has no flexibility.</w:t>
      </w:r>
    </w:p>
    <w:p>
      <w:pPr>
        <w:pStyle w:val="Normal"/>
        <w:rPr/>
      </w:pPr>
      <w:r>
        <w:rPr/>
      </w:r>
    </w:p>
    <w:p>
      <w:pPr>
        <w:pStyle w:val="Heading1"/>
        <w:ind w:hanging="0" w:start="0"/>
        <w:rPr/>
      </w:pPr>
      <w:r>
        <w:rPr/>
        <w:t>Disciplinary</w:t>
      </w:r>
    </w:p>
    <w:p>
      <w:pPr>
        <w:pStyle w:val="Normal"/>
        <w:rPr/>
      </w:pPr>
      <w:r>
        <w:rPr/>
      </w:r>
    </w:p>
    <w:p>
      <w:pPr>
        <w:pStyle w:val="Normal"/>
        <w:rPr/>
      </w:pPr>
      <w:r>
        <w:rPr>
          <w:i/>
        </w:rPr>
        <w:t>Scoring</w:t>
      </w:r>
      <w:r>
        <w:rPr/>
        <w:t xml:space="preserve"> – 1 if not currently on a disciplinary; 5 if on one, whatever the stage.  Employees on development plans may </w:t>
      </w:r>
      <w:r>
        <w:rPr>
          <w:b/>
        </w:rPr>
        <w:t>not</w:t>
      </w:r>
      <w:r>
        <w:rPr/>
        <w:t xml:space="preserve"> be considered to be on a disciplinary, unless a formal disciplinary warning has been issued.</w:t>
      </w:r>
    </w:p>
    <w:p>
      <w:pPr>
        <w:pStyle w:val="Normal"/>
        <w:rPr/>
      </w:pPr>
      <w:r>
        <w:rPr/>
      </w:r>
    </w:p>
    <w:p>
      <w:pPr>
        <w:pStyle w:val="Normal"/>
        <w:rPr/>
      </w:pPr>
      <w:r>
        <w:rPr>
          <w:i/>
        </w:rPr>
        <w:t>Weighting</w:t>
      </w:r>
      <w:r>
        <w:rPr/>
        <w:t xml:space="preserve"> - The disciplinary weighting is fixed at 5.  The Business Unit Head has no flexibility.</w:t>
      </w:r>
    </w:p>
    <w:p>
      <w:pPr>
        <w:pStyle w:val="Normal"/>
        <w:rPr/>
      </w:pPr>
      <w:r>
        <w:rPr/>
      </w:r>
    </w:p>
    <w:p>
      <w:pPr>
        <w:pStyle w:val="Normal"/>
        <w:rPr/>
      </w:pPr>
      <w:r>
        <w:rPr/>
      </w:r>
    </w:p>
    <w:p>
      <w:pPr>
        <w:pStyle w:val="Heading2"/>
        <w:ind w:hanging="0" w:start="0"/>
        <w:rPr>
          <w:b/>
        </w:rPr>
      </w:pPr>
      <w:r>
        <w:rPr>
          <w:b/>
        </w:rPr>
        <w:t>SKILLS PROFILE</w:t>
      </w:r>
    </w:p>
    <w:p>
      <w:pPr>
        <w:pStyle w:val="Normal"/>
        <w:rPr>
          <w:b/>
          <w:u w:val="single"/>
        </w:rPr>
      </w:pPr>
      <w:r>
        <w:rPr>
          <w:b/>
          <w:u w:val="single"/>
        </w:rPr>
      </w:r>
    </w:p>
    <w:p>
      <w:pPr>
        <w:pStyle w:val="Normal"/>
        <w:rPr/>
      </w:pPr>
      <w:r>
        <w:rPr>
          <w:i/>
        </w:rPr>
        <w:t>Scoring</w:t>
      </w:r>
      <w:r>
        <w:rPr/>
        <w:t xml:space="preserve"> – Each individual skill set should be scored between 1 and 5, with 1 being the best and 5 being the worst.</w:t>
      </w:r>
    </w:p>
    <w:p>
      <w:pPr>
        <w:pStyle w:val="Normal"/>
        <w:rPr/>
      </w:pPr>
      <w:r>
        <w:rPr/>
      </w:r>
    </w:p>
    <w:p>
      <w:pPr>
        <w:pStyle w:val="Normal"/>
        <w:rPr/>
      </w:pPr>
      <w:r>
        <w:rPr>
          <w:i/>
        </w:rPr>
        <w:t>Weighting</w:t>
      </w:r>
      <w:r>
        <w:rPr/>
        <w:t xml:space="preserve"> – The Business Unit Heads have flexibility of a weighting range between 1 and 3 for each skill set, but the total of the weightings for the eight skill sets must equal 16.</w:t>
      </w:r>
    </w:p>
    <w:p>
      <w:pPr>
        <w:pStyle w:val="Normal"/>
        <w:rPr/>
      </w:pPr>
      <w:r>
        <w:rPr/>
      </w:r>
      <w:r>
        <w:br w:type="page"/>
      </w:r>
    </w:p>
    <w:p>
      <w:pPr>
        <w:pStyle w:val="Heading2"/>
        <w:ind w:hanging="0" w:start="0"/>
        <w:jc w:val="center"/>
        <w:rPr>
          <w:b/>
          <w:bCs/>
          <w:sz w:val="28"/>
          <w:u w:val="none"/>
        </w:rPr>
      </w:pPr>
      <w:r>
        <w:rPr>
          <w:b/>
          <w:bCs/>
          <w:sz w:val="28"/>
          <w:u w:val="none"/>
        </w:rPr>
        <w:t>GUIDANCE NOTES FOR CRITERIA SPREADSHEET (con’t)</w:t>
      </w:r>
    </w:p>
    <w:p>
      <w:pPr>
        <w:pStyle w:val="Normal"/>
        <w:rPr>
          <w:b/>
          <w:bCs/>
          <w:sz w:val="28"/>
          <w:u w:val="none"/>
        </w:rPr>
      </w:pPr>
      <w:r>
        <w:rPr>
          <w:b/>
          <w:bCs/>
          <w:sz w:val="28"/>
          <w:u w:val="none"/>
        </w:rPr>
      </w:r>
    </w:p>
    <w:p>
      <w:pPr>
        <w:pStyle w:val="Normal"/>
        <w:rPr/>
      </w:pPr>
      <w:r>
        <w:rPr/>
      </w:r>
    </w:p>
    <w:p>
      <w:pPr>
        <w:pStyle w:val="Normal"/>
        <w:rPr/>
      </w:pPr>
      <w:r>
        <w:rPr/>
      </w:r>
    </w:p>
    <w:p>
      <w:pPr>
        <w:pStyle w:val="Heading2"/>
        <w:ind w:hanging="0" w:start="0"/>
        <w:rPr>
          <w:b/>
          <w:bCs/>
        </w:rPr>
      </w:pPr>
      <w:r>
        <w:rPr>
          <w:b/>
          <w:bCs/>
        </w:rPr>
        <w:t>WEIGHTING SUMMARY</w:t>
      </w:r>
    </w:p>
    <w:p>
      <w:pPr>
        <w:pStyle w:val="Normal"/>
        <w:rPr>
          <w:b/>
          <w:bCs/>
        </w:rPr>
      </w:pPr>
      <w:r>
        <w:rPr>
          <w:b/>
          <w:bCs/>
        </w:rPr>
      </w:r>
    </w:p>
    <w:p>
      <w:pPr>
        <w:pStyle w:val="Heading2"/>
        <w:ind w:hanging="0" w:start="0"/>
        <w:rPr>
          <w:b/>
          <w:bCs/>
        </w:rPr>
      </w:pPr>
      <w:r>
        <w:rPr>
          <w:b/>
          <w:bCs/>
        </w:rPr>
      </w:r>
    </w:p>
    <w:tbl>
      <w:tblPr>
        <w:tblW w:w="6228" w:type="dxa"/>
        <w:jc w:val="start"/>
        <w:tblInd w:w="0" w:type="dxa"/>
        <w:tblLayout w:type="fixed"/>
        <w:tblCellMar>
          <w:top w:w="0" w:type="dxa"/>
          <w:start w:w="108" w:type="dxa"/>
          <w:bottom w:w="0" w:type="dxa"/>
          <w:end w:w="108" w:type="dxa"/>
        </w:tblCellMar>
      </w:tblPr>
      <w:tblGrid>
        <w:gridCol w:w="2718"/>
        <w:gridCol w:w="3510"/>
      </w:tblGrid>
      <w:tr>
        <w:trPr/>
        <w:tc>
          <w:tcPr>
            <w:tcW w:w="2718" w:type="dxa"/>
            <w:tcBorders>
              <w:top w:val="single" w:sz="4" w:space="0" w:color="000000"/>
              <w:start w:val="single" w:sz="4" w:space="0" w:color="000000"/>
              <w:bottom w:val="single" w:sz="4" w:space="0" w:color="000000"/>
              <w:end w:val="single" w:sz="4" w:space="0" w:color="000000"/>
            </w:tcBorders>
            <w:shd w:fill="C0C0C0" w:val="clear"/>
          </w:tcPr>
          <w:p>
            <w:pPr>
              <w:pStyle w:val="Heading2"/>
              <w:ind w:hanging="0" w:start="0"/>
              <w:jc w:val="center"/>
              <w:rPr>
                <w:b/>
                <w:bCs/>
                <w:u w:val="none"/>
              </w:rPr>
            </w:pPr>
            <w:r>
              <w:rPr>
                <w:b/>
                <w:bCs/>
                <w:u w:val="none"/>
              </w:rPr>
              <w:t>Category</w:t>
            </w:r>
          </w:p>
        </w:tc>
        <w:tc>
          <w:tcPr>
            <w:tcW w:w="3510" w:type="dxa"/>
            <w:tcBorders>
              <w:top w:val="single" w:sz="4" w:space="0" w:color="000000"/>
              <w:start w:val="single" w:sz="4" w:space="0" w:color="000000"/>
              <w:bottom w:val="single" w:sz="4" w:space="0" w:color="000000"/>
              <w:end w:val="single" w:sz="4" w:space="0" w:color="000000"/>
            </w:tcBorders>
            <w:shd w:fill="C0C0C0" w:val="clear"/>
          </w:tcPr>
          <w:p>
            <w:pPr>
              <w:pStyle w:val="Heading2"/>
              <w:ind w:hanging="0" w:start="0"/>
              <w:jc w:val="center"/>
              <w:rPr>
                <w:b/>
                <w:bCs/>
                <w:u w:val="none"/>
              </w:rPr>
            </w:pPr>
            <w:r>
              <w:rPr>
                <w:b/>
                <w:bCs/>
                <w:u w:val="none"/>
              </w:rPr>
              <w:t>Weighting</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u w:val="none"/>
              </w:rPr>
              <w:t>PRC</w:t>
            </w:r>
          </w:p>
        </w:tc>
        <w:tc>
          <w:tcPr>
            <w:tcW w:w="3510"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u w:val="none"/>
              </w:rPr>
              <w:t>Fixed at 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u w:val="none"/>
              </w:rPr>
              <w:t>Disciplinary</w:t>
            </w:r>
          </w:p>
        </w:tc>
        <w:tc>
          <w:tcPr>
            <w:tcW w:w="3510"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u w:val="none"/>
              </w:rPr>
              <w:t>Fixed at 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u w:val="none"/>
              </w:rPr>
              <w:t>Skills Profile – each skill set</w:t>
            </w:r>
          </w:p>
        </w:tc>
        <w:tc>
          <w:tcPr>
            <w:tcW w:w="3510"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u w:val="none"/>
              </w:rPr>
              <w:t>1 – 3, at business unit head’s dicretion</w:t>
            </w:r>
          </w:p>
          <w:p>
            <w:pPr>
              <w:pStyle w:val="Normal"/>
              <w:rPr/>
            </w:pPr>
            <w:r>
              <w:rPr/>
              <w:t>(total of weightings for the 8 skill sets must equal 16)</w:t>
            </w:r>
          </w:p>
        </w:tc>
      </w:tr>
    </w:tbl>
    <w:p>
      <w:pPr>
        <w:pStyle w:val="Heading2"/>
        <w:ind w:hanging="0" w:start="0"/>
        <w:rPr>
          <w:b/>
        </w:rPr>
      </w:pPr>
      <w:r>
        <w:rPr>
          <w:b/>
        </w:rPr>
      </w:r>
    </w:p>
    <w:p>
      <w:pPr>
        <w:pStyle w:val="Heading2"/>
        <w:ind w:hanging="0" w:start="0"/>
        <w:rPr>
          <w:b/>
        </w:rPr>
      </w:pPr>
      <w:r>
        <w:rPr>
          <w:b/>
        </w:rPr>
      </w:r>
    </w:p>
    <w:p>
      <w:pPr>
        <w:pStyle w:val="Normal"/>
        <w:rPr>
          <w:b/>
        </w:rPr>
      </w:pPr>
      <w:r>
        <w:rPr>
          <w:b/>
        </w:rPr>
      </w:r>
    </w:p>
    <w:p>
      <w:pPr>
        <w:pStyle w:val="Normal"/>
        <w:rPr/>
      </w:pPr>
      <w:r>
        <w:rPr/>
      </w:r>
    </w:p>
    <w:p>
      <w:pPr>
        <w:pStyle w:val="Heading2"/>
        <w:ind w:hanging="0" w:start="0"/>
        <w:rPr>
          <w:b/>
        </w:rPr>
      </w:pPr>
      <w:r>
        <w:rPr>
          <w:b/>
        </w:rPr>
        <w:t>SCORE TOTALS</w:t>
      </w:r>
    </w:p>
    <w:p>
      <w:pPr>
        <w:pStyle w:val="Normal"/>
        <w:rPr>
          <w:b/>
        </w:rPr>
      </w:pPr>
      <w:r>
        <w:rPr>
          <w:b/>
        </w:rPr>
      </w:r>
    </w:p>
    <w:p>
      <w:pPr>
        <w:pStyle w:val="Normal"/>
        <w:rPr/>
      </w:pPr>
      <w:r>
        <w:rPr/>
      </w:r>
    </w:p>
    <w:tbl>
      <w:tblPr>
        <w:tblW w:w="5211" w:type="dxa"/>
        <w:jc w:val="start"/>
        <w:tblInd w:w="0" w:type="dxa"/>
        <w:tblLayout w:type="fixed"/>
        <w:tblCellMar>
          <w:top w:w="0" w:type="dxa"/>
          <w:start w:w="108" w:type="dxa"/>
          <w:bottom w:w="0" w:type="dxa"/>
          <w:end w:w="108" w:type="dxa"/>
        </w:tblCellMar>
      </w:tblPr>
      <w:tblGrid>
        <w:gridCol w:w="2840"/>
        <w:gridCol w:w="1237"/>
        <w:gridCol w:w="1134"/>
      </w:tblGrid>
      <w:tr>
        <w:trPr/>
        <w:tc>
          <w:tcPr>
            <w:tcW w:w="2840" w:type="dxa"/>
            <w:tcBorders>
              <w:top w:val="single" w:sz="4" w:space="0" w:color="000000"/>
              <w:start w:val="single" w:sz="4" w:space="0" w:color="000000"/>
              <w:bottom w:val="single" w:sz="4" w:space="0" w:color="000000"/>
              <w:end w:val="single" w:sz="4" w:space="0" w:color="000000"/>
            </w:tcBorders>
            <w:shd w:fill="DFDFDF" w:val="clear"/>
          </w:tcPr>
          <w:p>
            <w:pPr>
              <w:pStyle w:val="Normal"/>
              <w:jc w:val="center"/>
              <w:rPr>
                <w:b/>
              </w:rPr>
            </w:pPr>
            <w:r>
              <w:rPr>
                <w:b/>
              </w:rPr>
              <w:t>Employee Category</w:t>
            </w:r>
          </w:p>
        </w:tc>
        <w:tc>
          <w:tcPr>
            <w:tcW w:w="1237" w:type="dxa"/>
            <w:tcBorders>
              <w:top w:val="single" w:sz="4" w:space="0" w:color="000000"/>
              <w:start w:val="single" w:sz="4" w:space="0" w:color="000000"/>
              <w:bottom w:val="single" w:sz="4" w:space="0" w:color="000000"/>
              <w:end w:val="single" w:sz="4" w:space="0" w:color="000000"/>
            </w:tcBorders>
            <w:shd w:fill="DFDFDF" w:val="clear"/>
          </w:tcPr>
          <w:p>
            <w:pPr>
              <w:pStyle w:val="Normal"/>
              <w:jc w:val="center"/>
              <w:rPr>
                <w:b/>
              </w:rPr>
            </w:pPr>
            <w:r>
              <w:rPr>
                <w:b/>
              </w:rPr>
              <w:t>Minimum Score</w:t>
            </w:r>
          </w:p>
        </w:tc>
        <w:tc>
          <w:tcPr>
            <w:tcW w:w="1134" w:type="dxa"/>
            <w:tcBorders>
              <w:top w:val="single" w:sz="4" w:space="0" w:color="000000"/>
              <w:start w:val="single" w:sz="4" w:space="0" w:color="000000"/>
              <w:bottom w:val="single" w:sz="4" w:space="0" w:color="000000"/>
              <w:end w:val="single" w:sz="4" w:space="0" w:color="000000"/>
            </w:tcBorders>
            <w:shd w:fill="DFDFDF" w:val="clear"/>
          </w:tcPr>
          <w:p>
            <w:pPr>
              <w:pStyle w:val="Normal"/>
              <w:jc w:val="center"/>
              <w:rPr>
                <w:b/>
              </w:rPr>
            </w:pPr>
            <w:r>
              <w:rPr>
                <w:b/>
              </w:rPr>
              <w:t>Maximum Score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pPr>
            <w:r>
              <w:rPr/>
              <w:t>Junior Specialists and above</w:t>
            </w:r>
          </w:p>
        </w:tc>
        <w:tc>
          <w:tcPr>
            <w:tcW w:w="1237" w:type="dxa"/>
            <w:tcBorders>
              <w:top w:val="single" w:sz="4" w:space="0" w:color="000000"/>
              <w:start w:val="single" w:sz="4" w:space="0" w:color="000000"/>
              <w:bottom w:val="single" w:sz="4" w:space="0" w:color="000000"/>
              <w:end w:val="single" w:sz="4" w:space="0" w:color="000000"/>
            </w:tcBorders>
          </w:tcPr>
          <w:p>
            <w:pPr>
              <w:pStyle w:val="Normal"/>
              <w:jc w:val="center"/>
              <w:rPr/>
            </w:pPr>
            <w:r>
              <w:rPr/>
              <w:t>26</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130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pPr>
            <w:r>
              <w:rPr/>
              <w:t>Below Junior Specialists</w:t>
            </w:r>
          </w:p>
        </w:tc>
        <w:tc>
          <w:tcPr>
            <w:tcW w:w="1237"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120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pPr>
            <w:r>
              <w:rPr/>
              <w:t>New Starters</w:t>
            </w:r>
          </w:p>
        </w:tc>
        <w:tc>
          <w:tcPr>
            <w:tcW w:w="1237" w:type="dxa"/>
            <w:tcBorders>
              <w:top w:val="single" w:sz="4" w:space="0" w:color="000000"/>
              <w:start w:val="single" w:sz="4" w:space="0" w:color="000000"/>
              <w:bottom w:val="single" w:sz="4" w:space="0" w:color="000000"/>
              <w:end w:val="single" w:sz="4" w:space="0" w:color="000000"/>
            </w:tcBorders>
          </w:tcPr>
          <w:p>
            <w:pPr>
              <w:pStyle w:val="Normal"/>
              <w:jc w:val="center"/>
              <w:rPr/>
            </w:pPr>
            <w:r>
              <w:rPr/>
              <w:t>16</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80</w:t>
            </w:r>
          </w:p>
        </w:tc>
      </w:tr>
    </w:tbl>
    <w:p>
      <w:pPr>
        <w:pStyle w:val="Normal"/>
        <w:rPr/>
      </w:pPr>
      <w:r>
        <w:rPr/>
      </w:r>
    </w:p>
    <w:p>
      <w:pPr>
        <w:pStyle w:val="Normal"/>
        <w:rPr/>
      </w:pPr>
      <w:r>
        <w:rPr/>
      </w:r>
    </w:p>
    <w:p>
      <w:pPr>
        <w:pStyle w:val="Normal"/>
        <w:rPr/>
      </w:pPr>
      <w:r>
        <w:rPr/>
      </w:r>
    </w:p>
    <w:p>
      <w:pPr>
        <w:pStyle w:val="Normal"/>
        <w:rPr/>
      </w:pPr>
      <w:r>
        <w:rPr/>
      </w:r>
    </w:p>
    <w:p>
      <w:pPr>
        <w:pStyle w:val="Heading3"/>
        <w:ind w:hanging="0" w:start="0"/>
        <w:rPr/>
      </w:pPr>
      <w:r>
        <w:rPr/>
        <w:t>USING THE SPREADSHEETS</w:t>
      </w:r>
    </w:p>
    <w:p>
      <w:pPr>
        <w:pStyle w:val="Normal"/>
        <w:rPr/>
      </w:pPr>
      <w:r>
        <w:rPr/>
      </w:r>
    </w:p>
    <w:p>
      <w:pPr>
        <w:pStyle w:val="Normal"/>
        <w:rPr/>
      </w:pPr>
      <w:r>
        <w:rPr/>
      </w:r>
    </w:p>
    <w:p>
      <w:pPr>
        <w:pStyle w:val="Normal"/>
        <w:rPr/>
      </w:pPr>
      <w:r>
        <w:rPr/>
        <w:t>The spreadsheets are of most use if completed in soft copy form (i.e. in excel rather than on paper).  To use the spreadsheets in soft copy you need to enter the following data:-</w:t>
      </w:r>
    </w:p>
    <w:p>
      <w:pPr>
        <w:pStyle w:val="Normal"/>
        <w:rPr/>
      </w:pPr>
      <w:r>
        <w:rPr/>
      </w:r>
    </w:p>
    <w:p>
      <w:pPr>
        <w:pStyle w:val="Normal"/>
        <w:numPr>
          <w:ilvl w:val="0"/>
          <w:numId w:val="2"/>
        </w:numPr>
        <w:rPr/>
      </w:pPr>
      <w:r>
        <w:rPr/>
        <w:t>Surname and first name (you should have, by now, received a spreadsheet from Clare Goodbody containing the names of your client population, together with their midyear PRC ratings;</w:t>
      </w:r>
    </w:p>
    <w:p>
      <w:pPr>
        <w:pStyle w:val="Normal"/>
        <w:numPr>
          <w:ilvl w:val="0"/>
          <w:numId w:val="2"/>
        </w:numPr>
        <w:rPr/>
      </w:pPr>
      <w:r>
        <w:rPr/>
        <w:t>Weighting for individual skill sets (in yellow boxes);</w:t>
      </w:r>
    </w:p>
    <w:p>
      <w:pPr>
        <w:pStyle w:val="Normal"/>
        <w:numPr>
          <w:ilvl w:val="0"/>
          <w:numId w:val="2"/>
        </w:numPr>
        <w:rPr/>
      </w:pPr>
      <w:r>
        <w:rPr/>
        <w:t>Individual scores.</w:t>
      </w:r>
    </w:p>
    <w:p>
      <w:pPr>
        <w:pStyle w:val="Normal"/>
        <w:rPr/>
      </w:pPr>
      <w:r>
        <w:rPr/>
      </w:r>
    </w:p>
    <w:p>
      <w:pPr>
        <w:pStyle w:val="Normal"/>
        <w:rPr/>
      </w:pPr>
      <w:r>
        <w:rPr/>
        <w:t>The spreadsheet will then calculate the following automatically:-</w:t>
      </w:r>
    </w:p>
    <w:p>
      <w:pPr>
        <w:pStyle w:val="Normal"/>
        <w:rPr/>
      </w:pPr>
      <w:r>
        <w:rPr/>
      </w:r>
    </w:p>
    <w:p>
      <w:pPr>
        <w:pStyle w:val="Normal"/>
        <w:numPr>
          <w:ilvl w:val="0"/>
          <w:numId w:val="3"/>
        </w:numPr>
        <w:rPr/>
      </w:pPr>
      <w:r>
        <w:rPr/>
        <w:t>Individual weighted scores;</w:t>
      </w:r>
    </w:p>
    <w:p>
      <w:pPr>
        <w:pStyle w:val="Normal"/>
        <w:numPr>
          <w:ilvl w:val="0"/>
          <w:numId w:val="3"/>
        </w:numPr>
        <w:rPr/>
      </w:pPr>
      <w:r>
        <w:rPr/>
        <w:t>A check total of weighting for the eight skills sets;</w:t>
      </w:r>
    </w:p>
    <w:p>
      <w:pPr>
        <w:pStyle w:val="Normal"/>
        <w:numPr>
          <w:ilvl w:val="0"/>
          <w:numId w:val="3"/>
        </w:numPr>
        <w:rPr/>
      </w:pPr>
      <w:r>
        <w:rPr/>
        <w:t>Weighted total score;</w:t>
      </w:r>
    </w:p>
    <w:p>
      <w:pPr>
        <w:pStyle w:val="Normal"/>
        <w:numPr>
          <w:ilvl w:val="0"/>
          <w:numId w:val="3"/>
        </w:numPr>
        <w:rPr/>
      </w:pPr>
      <w:r>
        <w:rPr/>
        <w:t>Weighted total as a percentage of maximum.</w:t>
      </w:r>
    </w:p>
    <w:sectPr>
      <w:type w:val="nextPage"/>
      <w:pgSz w:w="12240" w:h="15840"/>
      <w:pgMar w:left="1800" w:right="1800" w:gutter="0" w:header="0" w:top="1987" w:footer="0" w:bottom="198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outlineLvl w:val="2"/>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2001-10-08T13:06:00Z</dcterms:created>
  <dc:creator>Nigel Sellens</dc:creator>
  <dc:description/>
  <dc:language>en-CA</dc:language>
  <cp:lastModifiedBy>Catherine Huynh</cp:lastModifiedBy>
  <cp:lastPrinted>2001-10-08T08:03:00Z</cp:lastPrinted>
  <dcterms:modified xsi:type="dcterms:W3CDTF">2001-10-08T13:06:00Z</dcterms:modified>
  <cp:revision>3</cp:revision>
  <dc:subject/>
  <dc:title>GUIDANCE NOTES FOR CRITERIA SPREADSHEET</dc:title>
</cp:coreProperties>
</file>