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Normal"/>
        <w:suppressAutoHyphens w:val="true"/>
        <w:rPr>
          <w:rFonts w:ascii="Times New Roman" w:hAnsi="Times New Roman" w:cs="Times New Roman"/>
          <w:sz w:val="24"/>
        </w:rPr>
      </w:pPr>
      <w:r>
        <w:rPr>
          <w:rFonts w:cs="Times New Roman"/>
          <w:sz w:val="24"/>
        </w:rPr>
      </w:r>
    </w:p>
    <w:p>
      <w:pPr>
        <w:pStyle w:val="Normal"/>
        <w:suppressAutoHyphens w:val="true"/>
        <w:rPr>
          <w:b/>
        </w:rPr>
      </w:pPr>
      <w:r>
        <w:rPr>
          <w:b/>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b/>
              </w:rPr>
            </w:pPr>
            <w:r>
              <w:rPr>
                <w:b/>
              </w:rPr>
              <w:t>Order Instituting Rulemaking on the Commission's Proposed Policies Governing Restructuring California's Electric Services Industry and Reforming Regulation.</w:t>
            </w:r>
          </w:p>
          <w:p>
            <w:pPr>
              <w:pStyle w:val="Normal"/>
              <w:rPr>
                <w:b/>
              </w:rPr>
            </w:pPr>
            <w:r>
              <w:rPr>
                <w:b/>
              </w:rPr>
            </w:r>
          </w:p>
        </w:tc>
        <w:tc>
          <w:tcPr>
            <w:tcW w:w="3600" w:type="dxa"/>
            <w:tcBorders/>
          </w:tcPr>
          <w:p>
            <w:pPr>
              <w:pStyle w:val="Normal"/>
              <w:snapToGrid w:val="false"/>
              <w:jc w:val="center"/>
              <w:rPr>
                <w:b/>
              </w:rPr>
            </w:pPr>
            <w:r>
              <w:rPr>
                <w:b/>
              </w:rPr>
            </w:r>
          </w:p>
          <w:p>
            <w:pPr>
              <w:pStyle w:val="Normal"/>
              <w:jc w:val="center"/>
              <w:rPr>
                <w:b/>
              </w:rPr>
            </w:pPr>
            <w:r>
              <w:rPr>
                <w:b/>
              </w:rPr>
              <w:t>Rulemaking 94-04-031</w:t>
            </w:r>
          </w:p>
          <w:p>
            <w:pPr>
              <w:pStyle w:val="Normal"/>
              <w:jc w:val="center"/>
              <w:rPr>
                <w:b/>
              </w:rPr>
            </w:pPr>
            <w:r>
              <w:rPr>
                <w:b/>
              </w:rPr>
              <w:t>(Filed April 20, 1994)</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b/>
              </w:rPr>
            </w:pPr>
            <w:r>
              <w:rPr>
                <w:b/>
              </w:rPr>
              <w:t>Order Instituting Investigation on the Commission's Proposed Policies Governing Restructuring California's Electric Services Industry and Reforming Regulation.</w:t>
            </w:r>
          </w:p>
          <w:p>
            <w:pPr>
              <w:pStyle w:val="Normal"/>
              <w:rPr>
                <w:b/>
              </w:rPr>
            </w:pPr>
            <w:r>
              <w:rPr>
                <w:b/>
              </w:rPr>
            </w:r>
          </w:p>
        </w:tc>
        <w:tc>
          <w:tcPr>
            <w:tcW w:w="3600" w:type="dxa"/>
            <w:tcBorders/>
          </w:tcPr>
          <w:p>
            <w:pPr>
              <w:pStyle w:val="Normal"/>
              <w:snapToGrid w:val="false"/>
              <w:jc w:val="center"/>
              <w:rPr>
                <w:b/>
              </w:rPr>
            </w:pPr>
            <w:r>
              <w:rPr>
                <w:b/>
              </w:rPr>
            </w:r>
          </w:p>
          <w:p>
            <w:pPr>
              <w:pStyle w:val="Normal"/>
              <w:jc w:val="center"/>
              <w:rPr>
                <w:b/>
              </w:rPr>
            </w:pPr>
            <w:r>
              <w:rPr>
                <w:b/>
              </w:rPr>
              <w:t>Investigation 94-04-032</w:t>
            </w:r>
          </w:p>
          <w:p>
            <w:pPr>
              <w:pStyle w:val="Normal"/>
              <w:jc w:val="center"/>
              <w:rPr>
                <w:b/>
              </w:rPr>
            </w:pPr>
            <w:r>
              <w:rPr>
                <w:b/>
              </w:rPr>
              <w:t>(Filed April 20, 1994)</w:t>
            </w:r>
          </w:p>
        </w:tc>
      </w:tr>
    </w:tbl>
    <w:p>
      <w:pPr>
        <w:pStyle w:val="Normal"/>
        <w:suppressAutoHyphens w:val="true"/>
        <w:rPr>
          <w:b/>
        </w:rPr>
      </w:pPr>
      <w:r>
        <w:rPr>
          <w:b/>
        </w:rPr>
      </w:r>
    </w:p>
    <w:p>
      <w:pPr>
        <w:pStyle w:val="Header"/>
        <w:tabs>
          <w:tab w:val="clear" w:pos="4320"/>
          <w:tab w:val="clear" w:pos="8640"/>
        </w:tabs>
        <w:rPr>
          <w:b/>
        </w:rPr>
      </w:pPr>
      <w:r>
        <w:rPr>
          <w:b/>
        </w:rPr>
      </w:r>
    </w:p>
    <w:p>
      <w:pPr>
        <w:pStyle w:val="Heading1"/>
        <w:spacing w:lineRule="auto" w:line="240"/>
        <w:ind w:hanging="0" w:start="0"/>
        <w:rPr/>
      </w:pPr>
      <w:r>
        <w:rPr/>
        <w:t>MOTION OF SAN DIEGO GAS &amp; ELECTRIC COMPANY (U 902-E) FOR A PROCEDURAL SCHEDULE TO ADOPT AN ELECTRIC PROCUREMENT COST RECOVERY MECHANISM</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Normal"/>
        <w:ind w:start="4752" w:end="0"/>
        <w:rPr>
          <w:b/>
        </w:rPr>
      </w:pPr>
      <w:r>
        <w:rPr>
          <w:b/>
        </w:rPr>
        <w:t>Jeffrey M. Parrott</w:t>
      </w:r>
    </w:p>
    <w:p>
      <w:pPr>
        <w:pStyle w:val="Normal"/>
        <w:ind w:start="4752" w:end="0"/>
        <w:rPr>
          <w:b/>
        </w:rPr>
      </w:pPr>
      <w:r>
        <w:rPr>
          <w:b/>
        </w:rPr>
        <w:t>Keith W. Melville</w:t>
      </w:r>
    </w:p>
    <w:p>
      <w:pPr>
        <w:pStyle w:val="Normal"/>
        <w:ind w:start="4752" w:end="0"/>
        <w:rPr>
          <w:b/>
        </w:rPr>
      </w:pPr>
      <w:r>
        <w:rPr>
          <w:b/>
        </w:rPr>
        <w:t>101 Ash Street</w:t>
      </w:r>
    </w:p>
    <w:p>
      <w:pPr>
        <w:pStyle w:val="Normal"/>
        <w:tabs>
          <w:tab w:val="clear" w:pos="720"/>
          <w:tab w:val="left" w:pos="4320" w:leader="none"/>
        </w:tabs>
        <w:ind w:start="4770" w:end="0"/>
        <w:rPr>
          <w:b/>
        </w:rPr>
      </w:pPr>
      <w:r>
        <w:rPr>
          <w:b/>
        </w:rPr>
        <w:t xml:space="preserve">San Diego, California 92101-3017 </w:t>
      </w:r>
    </w:p>
    <w:p>
      <w:pPr>
        <w:pStyle w:val="Normal"/>
        <w:tabs>
          <w:tab w:val="clear" w:pos="720"/>
          <w:tab w:val="left" w:pos="4320" w:leader="none"/>
        </w:tabs>
        <w:ind w:start="4770" w:end="0"/>
        <w:rPr>
          <w:b/>
        </w:rPr>
      </w:pPr>
      <w:r>
        <w:rPr>
          <w:b/>
        </w:rPr>
        <w:t>Telephone:  (619) 699-5063</w:t>
      </w:r>
    </w:p>
    <w:p>
      <w:pPr>
        <w:pStyle w:val="Normal"/>
        <w:tabs>
          <w:tab w:val="clear" w:pos="720"/>
          <w:tab w:val="left" w:pos="4320" w:leader="none"/>
        </w:tabs>
        <w:ind w:start="4770" w:end="0"/>
        <w:rPr>
          <w:b/>
        </w:rPr>
      </w:pPr>
      <w:r>
        <w:rPr>
          <w:b/>
        </w:rPr>
        <w:t>Telephone:  (619) 699-5039</w:t>
      </w:r>
    </w:p>
    <w:p>
      <w:pPr>
        <w:pStyle w:val="Normal"/>
        <w:ind w:start="4770" w:end="0"/>
        <w:rPr>
          <w:b/>
        </w:rPr>
      </w:pPr>
      <w:r>
        <w:rPr>
          <w:b/>
        </w:rPr>
        <w:t>Facsimile:   (619) 699-5027</w:t>
      </w:r>
    </w:p>
    <w:p>
      <w:pPr>
        <w:pStyle w:val="Normal"/>
        <w:ind w:start="4752" w:end="0"/>
        <w:rPr>
          <w:b/>
        </w:rPr>
      </w:pPr>
      <w:r>
        <w:rPr>
          <w:b/>
        </w:rPr>
      </w:r>
    </w:p>
    <w:p>
      <w:pPr>
        <w:pStyle w:val="Normal"/>
        <w:ind w:start="4752" w:end="0"/>
        <w:rPr>
          <w:b/>
        </w:rPr>
      </w:pPr>
      <w:r>
        <w:rPr>
          <w:b/>
        </w:rPr>
        <w:t>Attorneys for San Diego Gas &amp; Electric Company</w:t>
      </w:r>
    </w:p>
    <w:p>
      <w:pPr>
        <w:pStyle w:val="Normal"/>
        <w:rPr>
          <w:b/>
        </w:rPr>
      </w:pPr>
      <w:r>
        <w:rPr>
          <w:b/>
        </w:rPr>
      </w:r>
    </w:p>
    <w:p>
      <w:pPr>
        <w:pStyle w:val="titlebar"/>
        <w:rPr>
          <w:b w:val="false"/>
        </w:rPr>
      </w:pPr>
      <w:r>
        <w:rPr>
          <w:b w:val="false"/>
        </w:rPr>
      </w:r>
    </w:p>
    <w:p>
      <w:pPr>
        <w:pStyle w:val="titlebar"/>
        <w:rPr>
          <w:b w:val="false"/>
        </w:rPr>
      </w:pPr>
      <w:r>
        <w:rPr>
          <w:b w:val="false"/>
        </w:rPr>
      </w:r>
    </w:p>
    <w:p>
      <w:pPr>
        <w:sectPr>
          <w:footerReference w:type="default" r:id="rId2"/>
          <w:footerReference w:type="first" r:id="rId3"/>
          <w:type w:val="nextPage"/>
          <w:pgSz w:w="12240" w:h="15840"/>
          <w:pgMar w:left="1440" w:right="1440" w:gutter="0" w:header="0" w:top="1440" w:footer="1440" w:bottom="1496"/>
          <w:pgNumType w:start="0" w:fmt="decimal"/>
          <w:formProt w:val="false"/>
          <w:titlePg/>
          <w:textDirection w:val="lrTb"/>
          <w:docGrid w:type="default" w:linePitch="360" w:charSpace="0"/>
        </w:sectPr>
        <w:pStyle w:val="titlebar"/>
        <w:jc w:val="start"/>
        <w:rPr>
          <w:rFonts w:ascii="Times New Roman" w:hAnsi="Times New Roman" w:cs="Times New Roman"/>
          <w:sz w:val="24"/>
        </w:rPr>
      </w:pPr>
      <w:r>
        <w:rPr>
          <w:rFonts w:cs="Times New Roman" w:ascii="Times New Roman" w:hAnsi="Times New Roman"/>
          <w:sz w:val="24"/>
        </w:rPr>
        <w:t>July 16, 2001</w:t>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Normal"/>
        <w:suppressAutoHyphens w:val="true"/>
        <w:rPr>
          <w:rFonts w:ascii="Times New Roman" w:hAnsi="Times New Roman" w:cs="Times New Roman"/>
          <w:sz w:val="24"/>
        </w:rPr>
      </w:pPr>
      <w:r>
        <w:rPr>
          <w:rFonts w:cs="Times New Roman"/>
          <w:sz w:val="24"/>
        </w:rPr>
      </w:r>
    </w:p>
    <w:p>
      <w:pPr>
        <w:pStyle w:val="Normal"/>
        <w:suppressAutoHyphens w:val="true"/>
        <w:rPr/>
      </w:pPr>
      <w:r>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Rulemaking on the Commission's Proposed Policies Governing Restructuring California's Electric Services Industry and Reforming Regulation.</w:t>
            </w:r>
          </w:p>
          <w:p>
            <w:pPr>
              <w:pStyle w:val="Normal"/>
              <w:rPr/>
            </w:pPr>
            <w:r>
              <w:rPr/>
            </w:r>
          </w:p>
        </w:tc>
        <w:tc>
          <w:tcPr>
            <w:tcW w:w="3600" w:type="dxa"/>
            <w:tcBorders/>
          </w:tcPr>
          <w:p>
            <w:pPr>
              <w:pStyle w:val="Normal"/>
              <w:snapToGrid w:val="false"/>
              <w:jc w:val="center"/>
              <w:rPr/>
            </w:pPr>
            <w:r>
              <w:rPr/>
            </w:r>
          </w:p>
          <w:p>
            <w:pPr>
              <w:pStyle w:val="Normal"/>
              <w:jc w:val="center"/>
              <w:rPr/>
            </w:pPr>
            <w:r>
              <w:rPr/>
              <w:t>Rulemaking 94-04-031</w:t>
            </w:r>
          </w:p>
          <w:p>
            <w:pPr>
              <w:pStyle w:val="Normal"/>
              <w:jc w:val="center"/>
              <w:rPr/>
            </w:pPr>
            <w:r>
              <w:rPr/>
              <w:t>(Filed April 20, 1994)</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Investigation on the Commission's Proposed Policies Governing Restructuring California's Electric Services Industry and Reforming Regulation.</w:t>
            </w:r>
          </w:p>
          <w:p>
            <w:pPr>
              <w:pStyle w:val="Normal"/>
              <w:rPr/>
            </w:pPr>
            <w:r>
              <w:rPr/>
            </w:r>
          </w:p>
        </w:tc>
        <w:tc>
          <w:tcPr>
            <w:tcW w:w="3600" w:type="dxa"/>
            <w:tcBorders/>
          </w:tcPr>
          <w:p>
            <w:pPr>
              <w:pStyle w:val="Normal"/>
              <w:snapToGrid w:val="false"/>
              <w:jc w:val="center"/>
              <w:rPr/>
            </w:pPr>
            <w:r>
              <w:rPr/>
            </w:r>
          </w:p>
          <w:p>
            <w:pPr>
              <w:pStyle w:val="Normal"/>
              <w:jc w:val="center"/>
              <w:rPr/>
            </w:pPr>
            <w:r>
              <w:rPr/>
              <w:t>Investigation 94-04-032</w:t>
            </w:r>
          </w:p>
          <w:p>
            <w:pPr>
              <w:pStyle w:val="Normal"/>
              <w:jc w:val="center"/>
              <w:rPr/>
            </w:pPr>
            <w:r>
              <w:rPr/>
              <w:t>(Filed April 20, 1994)</w:t>
            </w:r>
          </w:p>
        </w:tc>
      </w:tr>
    </w:tbl>
    <w:p>
      <w:pPr>
        <w:pStyle w:val="Normal"/>
        <w:suppressAutoHyphens w:val="true"/>
        <w:rPr/>
      </w:pPr>
      <w:r>
        <w:rPr/>
      </w:r>
    </w:p>
    <w:p>
      <w:pPr>
        <w:pStyle w:val="Header"/>
        <w:tabs>
          <w:tab w:val="clear" w:pos="4320"/>
          <w:tab w:val="clear" w:pos="8640"/>
        </w:tabs>
        <w:rPr/>
      </w:pPr>
      <w:r>
        <w:rPr/>
      </w:r>
    </w:p>
    <w:p>
      <w:pPr>
        <w:pStyle w:val="BodyText"/>
        <w:rPr/>
      </w:pPr>
      <w:r>
        <w:rPr/>
        <w:t>MOTION OF SAN DIEGO GAS &amp; ELECTRIC COMPANY (U 902-E) FOR A PROCEDURAL SCHEDULE TO ADOPT AN ELECTRIC PROCUREMENT COST RECOVERY MECHANISM</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I.</w:t>
      </w:r>
    </w:p>
    <w:p>
      <w:pPr>
        <w:pStyle w:val="Normal"/>
        <w:jc w:val="center"/>
        <w:rPr>
          <w:b/>
        </w:rPr>
      </w:pPr>
      <w:r>
        <w:rPr>
          <w:b/>
        </w:rPr>
        <w:t>INTRODUCTION</w:t>
      </w:r>
    </w:p>
    <w:p>
      <w:pPr>
        <w:pStyle w:val="Normal"/>
        <w:jc w:val="center"/>
        <w:rPr>
          <w:b/>
        </w:rPr>
      </w:pPr>
      <w:r>
        <w:rPr>
          <w:b/>
        </w:rPr>
      </w:r>
    </w:p>
    <w:p>
      <w:pPr>
        <w:pStyle w:val="Normal"/>
        <w:spacing w:lineRule="auto" w:line="360"/>
        <w:ind w:firstLine="720" w:end="0"/>
        <w:rPr/>
      </w:pPr>
      <w:r>
        <w:rPr/>
        <w:t xml:space="preserve">On June 18, 2001, the State of California (through the California Department of Water Resources or “DWR”), San Diego Gas &amp; Electric Company (“SDG&amp;E”) and, as to certain provisions, Sempra Energy signed a Memorandum of Understanding (the “DWR/SDG&amp;E MOU”) the primary purpose of which was to ensure the continued provision by SDG&amp;E of affordable and reliable electricity to its customers.  The DWR/SDG&amp;E MOU, as one of its objectives, proposed a plan for eliminating certain deferred electric commodity costs incurred by residential and small commercial customers of SDG&amp;E (also known as AB 265 customers).  The plan requires a series of actions by the California Public Utilities Commission (“Commission” or “CPUC”) referred to as “CPUC Implementing Decisions.”   </w:t>
      </w:r>
    </w:p>
    <w:p>
      <w:pPr>
        <w:pStyle w:val="BodyText2"/>
        <w:rPr/>
      </w:pPr>
      <w:r>
        <w:rPr/>
        <w:t>One of the CPUC Implementing Decisions concerns adoption by the Commission of a Procurement Cost Recovery Mechanism.  In describing the need for adoption of a procurement cost recovery mechanism, the DWR/SDG&amp;E MOU at p. 17, states:</w:t>
      </w:r>
    </w:p>
    <w:p>
      <w:pPr>
        <w:pStyle w:val="BodyText2"/>
        <w:spacing w:lineRule="auto" w:line="240"/>
        <w:ind w:hanging="0" w:start="720" w:end="720"/>
        <w:rPr/>
      </w:pPr>
      <w:r>
        <w:rPr>
          <w:color w:val="000000"/>
        </w:rPr>
        <w:t>Given the magnitude of the net short, the practical ability of Utility to resume such procurement responsibility after the Procurement Resumption Date will depend in substantial part upon continuation of Utility's creditworthiness and its ability to recover such procurement costs in rates on a timely basis.  Accordingly, the CPUC Implementing Decisions will include confirmation of Utility's entitlement to recover its reasonable procurement costs on a timely basis and establish procedures (which may include one or more balancing accounts and trigger mechanisms) designed to ensure that any undercollection or overcollection of procurement costs will be reconciled in a timely manner and any undercollection will be able to be financed (in the capital or credit markets) on reasonable terms consistent with Utility continuing to be an investment grade credit, and mechanisms to mitigate the potential risks of retrospective reasonableness review of procurement practices, including the development of a framework and criteria for procurement practices (the "Procurement Cost Recovery Mechanism").  The Procurement Cost Recovery Mechanism shall also provide that any contracts, if any, that CDWR assigns or subcontracts to Utility shall be deemed reasonable per se.</w:t>
      </w:r>
    </w:p>
    <w:p>
      <w:pPr>
        <w:pStyle w:val="BodyText2"/>
        <w:spacing w:lineRule="auto" w:line="240"/>
        <w:ind w:hanging="0" w:start="720" w:end="720"/>
        <w:rPr>
          <w:color w:val="000000"/>
        </w:rPr>
      </w:pPr>
      <w:r>
        <w:rPr>
          <w:color w:val="000000"/>
        </w:rPr>
      </w:r>
    </w:p>
    <w:p>
      <w:pPr>
        <w:pStyle w:val="BodyTextIndent2"/>
        <w:rPr/>
      </w:pPr>
      <w:r>
        <w:rPr/>
        <w:t xml:space="preserve">In order to adopt a procurement cost recovery mechanism that reflects the interests of all impacted parties, and consistent with the requirements of the DWR/SDG&amp;E MOU, a procedural schedule should be adopted for the Commission to consider this issue. As a result, pursuant to subdivision (i) of Rule 45 of the Commission’s Rules of Practice and Procedure SDG&amp;E hereby moves the Commission to implement a procedural schedule to adopt a procurement cost recovery mechanism. </w:t>
      </w:r>
    </w:p>
    <w:p>
      <w:pPr>
        <w:pStyle w:val="BodyText2"/>
        <w:ind w:hanging="0" w:end="0"/>
        <w:jc w:val="center"/>
        <w:rPr>
          <w:b/>
        </w:rPr>
      </w:pPr>
      <w:r>
        <w:rPr>
          <w:b/>
        </w:rPr>
        <w:t>II.</w:t>
      </w:r>
    </w:p>
    <w:p>
      <w:pPr>
        <w:pStyle w:val="BodyText2"/>
        <w:spacing w:lineRule="auto" w:line="240"/>
        <w:ind w:hanging="0" w:end="0"/>
        <w:jc w:val="center"/>
        <w:rPr>
          <w:b/>
        </w:rPr>
      </w:pPr>
      <w:r>
        <w:rPr>
          <w:b/>
        </w:rPr>
        <w:t xml:space="preserve">A SCHEDULE SHOULD BE ADOPTED TO CONSIDER </w:t>
        <w:br/>
        <w:t xml:space="preserve">ISSUES ASSOCIATED WITH DEVELOPEMNT OF A PROCUREMENT </w:t>
        <w:br/>
        <w:t>COST RECOVERY MECHANISM</w:t>
      </w:r>
    </w:p>
    <w:p>
      <w:pPr>
        <w:pStyle w:val="BodyText2"/>
        <w:spacing w:lineRule="auto" w:line="240"/>
        <w:ind w:hanging="0" w:end="0"/>
        <w:jc w:val="center"/>
        <w:rPr>
          <w:b/>
        </w:rPr>
      </w:pPr>
      <w:r>
        <w:rPr>
          <w:b/>
        </w:rPr>
      </w:r>
    </w:p>
    <w:p>
      <w:pPr>
        <w:pStyle w:val="BodyText2"/>
        <w:rPr/>
      </w:pPr>
      <w:r>
        <w:rPr/>
        <w:t xml:space="preserve">As the DWR/SDG&amp;E MOU acknowledges, </w:t>
      </w:r>
      <w:r>
        <w:rPr>
          <w:color w:val="000000"/>
        </w:rPr>
        <w:t xml:space="preserve">the practical ability of SDG&amp;E to resume electric procurement responsibilities depends in substantial part upon continuation of it's creditworthiness and its ability to recover the procurement costs it incurs in rates on a timely basis.  In order to achieve this objective, the DWR/SDG&amp;E MOU anticipates the issuance of a CPUC Implementing Decision which adopts mechanisms that mitigate the potential risks of retrospective reasonableness reviews through the adoption of a procurement cost recovery mechanism that includes a framework and criteria for procurement practices.  </w:t>
      </w:r>
    </w:p>
    <w:p>
      <w:pPr>
        <w:pStyle w:val="BodyText2"/>
        <w:rPr/>
      </w:pPr>
      <w:r>
        <w:rPr/>
        <w:t xml:space="preserve">Adoption of the procurement cost recovery mechanism provided for in the DWR/SDG&amp;E MOU will require the Commission to resolve a number of issues that go to the very heart of the future procurement activities of SDG&amp;E, including: whether risk/reward criteria should be adopted for procurement activities on the basis of pre-determined standards and/or benchmarks for determining reasonableness; the standards of reasonableness that should be adopted; and the appropriate portfolio mix to be maintained in SDG&amp;E’s procurement portfolio.  While adoption of a procurement cost recovery mechanism is necessary, although SDG&amp;E does not proposed such a mechanism in this filing, SDG&amp;E believes that a procedural schedule should be adopted now that will provide an opportunity for input by interested parties in developing an appropriate structure for a future SDG&amp;E procurement cost recovery mechanism.  </w:t>
      </w:r>
    </w:p>
    <w:p>
      <w:pPr>
        <w:pStyle w:val="BodyText2"/>
        <w:ind w:hanging="0" w:end="0"/>
        <w:jc w:val="center"/>
        <w:rPr>
          <w:b/>
        </w:rPr>
      </w:pPr>
      <w:r>
        <w:rPr>
          <w:b/>
        </w:rPr>
        <w:t>III.</w:t>
      </w:r>
    </w:p>
    <w:p>
      <w:pPr>
        <w:pStyle w:val="BodyText2"/>
        <w:ind w:hanging="0" w:end="0"/>
        <w:jc w:val="center"/>
        <w:rPr>
          <w:b/>
        </w:rPr>
      </w:pPr>
      <w:r>
        <w:rPr>
          <w:b/>
        </w:rPr>
        <w:t>PROPOSED PROCEDURAL SCHEDULE</w:t>
      </w:r>
    </w:p>
    <w:p>
      <w:pPr>
        <w:pStyle w:val="Heading1"/>
        <w:ind w:firstLine="720" w:start="0" w:end="0"/>
        <w:jc w:val="start"/>
        <w:rPr>
          <w:b w:val="false"/>
        </w:rPr>
      </w:pPr>
      <w:r>
        <w:rPr>
          <w:b w:val="false"/>
        </w:rPr>
        <w:t>In order to efficiently and effectively adopt a procurement cost recovery mechanism in a manner that permits the Commission staff and interested parties to address the issues outlined above, SDG&amp;E proposes the following procedural schedule be adopted through an ALJ or Assigned Commissioner Ruling:</w:t>
      </w:r>
    </w:p>
    <w:p>
      <w:pPr>
        <w:pStyle w:val="Heading1"/>
        <w:numPr>
          <w:ilvl w:val="0"/>
          <w:numId w:val="4"/>
        </w:numPr>
        <w:tabs>
          <w:tab w:val="clear" w:pos="720"/>
          <w:tab w:val="left" w:pos="1080" w:leader="none"/>
        </w:tabs>
        <w:spacing w:lineRule="auto" w:line="240" w:before="0" w:after="120"/>
        <w:ind w:hanging="360" w:start="1080" w:end="720"/>
        <w:jc w:val="start"/>
        <w:rPr>
          <w:b w:val="false"/>
        </w:rPr>
      </w:pPr>
      <w:r>
        <w:rPr>
          <w:b w:val="false"/>
        </w:rPr>
        <w:t xml:space="preserve">Between August 6 and August 10, 2001 SDG&amp;E will consult with Commission staff and interested parties to discuss possible approaches and other issues associated with the development of a procurement cost recovery mechanism. </w:t>
      </w:r>
    </w:p>
    <w:p>
      <w:pPr>
        <w:pStyle w:val="Normal"/>
        <w:numPr>
          <w:ilvl w:val="0"/>
          <w:numId w:val="3"/>
        </w:numPr>
        <w:tabs>
          <w:tab w:val="clear" w:pos="720"/>
          <w:tab w:val="left" w:pos="1080" w:leader="none"/>
        </w:tabs>
        <w:spacing w:before="0" w:after="120"/>
        <w:ind w:hanging="360" w:start="1080" w:end="720"/>
        <w:rPr/>
      </w:pPr>
      <w:r>
        <w:rPr/>
        <w:t>On or before August 24, 2001 SDG&amp;E will file and serve in this docket its proposal for a procurement cost recovery mechanism.</w:t>
      </w:r>
    </w:p>
    <w:p>
      <w:pPr>
        <w:pStyle w:val="Normal"/>
        <w:numPr>
          <w:ilvl w:val="0"/>
          <w:numId w:val="3"/>
        </w:numPr>
        <w:tabs>
          <w:tab w:val="clear" w:pos="720"/>
          <w:tab w:val="left" w:pos="1080" w:leader="none"/>
        </w:tabs>
        <w:spacing w:before="0" w:after="120"/>
        <w:ind w:hanging="360" w:start="1080" w:end="720"/>
        <w:rPr/>
      </w:pPr>
      <w:r>
        <w:rPr/>
        <w:t>Comments on SDG&amp;E’s proposal will be filed and served within 15 days after SDG&amp;E serves it proposal.</w:t>
      </w:r>
    </w:p>
    <w:p>
      <w:pPr>
        <w:pStyle w:val="Normal"/>
        <w:numPr>
          <w:ilvl w:val="0"/>
          <w:numId w:val="3"/>
        </w:numPr>
        <w:tabs>
          <w:tab w:val="clear" w:pos="720"/>
          <w:tab w:val="left" w:pos="1080" w:leader="none"/>
        </w:tabs>
        <w:spacing w:before="0" w:after="120"/>
        <w:ind w:hanging="360" w:start="1080" w:end="720"/>
        <w:rPr/>
      </w:pPr>
      <w:r>
        <w:rPr/>
        <w:t>SDG&amp;E will have 10 days to reply to any comments filed concerning its proposal.</w:t>
      </w:r>
    </w:p>
    <w:p>
      <w:pPr>
        <w:pStyle w:val="Normal"/>
        <w:numPr>
          <w:ilvl w:val="0"/>
          <w:numId w:val="3"/>
        </w:numPr>
        <w:tabs>
          <w:tab w:val="clear" w:pos="720"/>
          <w:tab w:val="left" w:pos="1080" w:leader="none"/>
        </w:tabs>
        <w:spacing w:before="0" w:after="240"/>
        <w:ind w:hanging="360" w:start="1080" w:end="720"/>
        <w:rPr/>
      </w:pPr>
      <w:r>
        <w:rPr/>
        <w:t xml:space="preserve">A Commission decision on SDG&amp;E’s procurement cost recovery mechanism will be issued as soon as possible after SDG&amp;E’s reply comments, if any.  </w:t>
      </w:r>
    </w:p>
    <w:p>
      <w:pPr>
        <w:pStyle w:val="zCaption"/>
        <w:widowControl/>
        <w:spacing w:lineRule="auto" w:line="360"/>
        <w:ind w:firstLine="720" w:end="0"/>
        <w:rPr>
          <w:rFonts w:ascii="Times New Roman" w:hAnsi="Times New Roman" w:cs="Times New Roman"/>
          <w:lang w:eastAsia="en-CA"/>
        </w:rPr>
      </w:pPr>
      <w:r>
        <w:rPr>
          <w:rFonts w:cs="Times New Roman" w:ascii="Times New Roman" w:hAnsi="Times New Roman"/>
          <w:lang w:eastAsia="en-CA"/>
        </w:rPr>
        <w:t>The foregoing procedural schedule will provide the Commission an opportunity to adopt a procurement cost recovery mechanism for SDG&amp;E in a manner consistent with the public interest, and consistent with the SDG&amp;E/DWR MOU, which provides for elimination of the AB 265 undercollection without an increase in base electric rates.  Adoption of a procurement cost recovery mechanism under the schedule proposed herein will also be an important additional step in moving California out of the current energy crisis and put SDG&amp;E in a position whereby it can, under the terms of the DWR/SDG&amp;E MOU, resume electric procurement responsibility for its customers.</w:t>
      </w:r>
    </w:p>
    <w:p>
      <w:pPr>
        <w:pStyle w:val="BodyText2"/>
        <w:ind w:hanging="0" w:end="0"/>
        <w:jc w:val="center"/>
        <w:rPr>
          <w:b/>
        </w:rPr>
      </w:pPr>
      <w:r>
        <w:rPr>
          <w:b/>
        </w:rPr>
        <w:t>IV.</w:t>
      </w:r>
    </w:p>
    <w:p>
      <w:pPr>
        <w:pStyle w:val="BodyText2"/>
        <w:ind w:hanging="0" w:end="0"/>
        <w:jc w:val="center"/>
        <w:rPr>
          <w:b/>
        </w:rPr>
      </w:pPr>
      <w:r>
        <w:rPr>
          <w:b/>
        </w:rPr>
        <w:t>CONCLUSION</w:t>
      </w:r>
    </w:p>
    <w:p>
      <w:pPr>
        <w:pStyle w:val="zCaption"/>
        <w:widowControl/>
        <w:spacing w:lineRule="auto" w:line="360"/>
        <w:ind w:firstLine="720" w:end="0"/>
        <w:rPr>
          <w:rFonts w:ascii="Times New Roman" w:hAnsi="Times New Roman" w:cs="Times New Roman"/>
          <w:lang w:eastAsia="en-CA"/>
        </w:rPr>
      </w:pPr>
      <w:r>
        <w:rPr>
          <w:rFonts w:cs="Times New Roman" w:ascii="Times New Roman" w:hAnsi="Times New Roman"/>
          <w:lang w:eastAsia="en-CA"/>
        </w:rPr>
        <w:t>Based upon the foregoing, and consistent with the DWR/SDG&amp;E MOU, SDG&amp;E requests:</w:t>
      </w:r>
    </w:p>
    <w:p>
      <w:pPr>
        <w:pStyle w:val="Normal"/>
        <w:numPr>
          <w:ilvl w:val="0"/>
          <w:numId w:val="2"/>
        </w:numPr>
        <w:tabs>
          <w:tab w:val="clear" w:pos="720"/>
          <w:tab w:val="left" w:pos="1080" w:leader="none"/>
        </w:tabs>
        <w:spacing w:lineRule="auto" w:line="360"/>
        <w:ind w:hanging="360" w:start="1080" w:end="0"/>
        <w:rPr/>
      </w:pPr>
      <w:r>
        <w:rPr/>
        <w:t xml:space="preserve">That the assigned ALJ or the Assigned Commissioner issue a ruling immediately adopting the procedural schedule set forth above; </w:t>
      </w:r>
    </w:p>
    <w:p>
      <w:pPr>
        <w:pStyle w:val="Normal"/>
        <w:numPr>
          <w:ilvl w:val="0"/>
          <w:numId w:val="2"/>
        </w:numPr>
        <w:tabs>
          <w:tab w:val="clear" w:pos="720"/>
          <w:tab w:val="left" w:pos="1080" w:leader="none"/>
        </w:tabs>
        <w:spacing w:lineRule="auto" w:line="360"/>
        <w:ind w:hanging="360" w:start="1080" w:end="0"/>
        <w:rPr/>
      </w:pPr>
      <w:r>
        <w:rPr/>
        <w:t xml:space="preserve">That after due consideration of SDG&amp;E’s proposal and parties comments the Commission adopt a procurement cost recovery mechanism for SDG&amp;E that accomplished the objectives described in the DWR/SDG&amp;E MOU; and, </w:t>
      </w:r>
    </w:p>
    <w:p>
      <w:pPr>
        <w:pStyle w:val="Normal"/>
        <w:numPr>
          <w:ilvl w:val="0"/>
          <w:numId w:val="2"/>
        </w:numPr>
        <w:tabs>
          <w:tab w:val="clear" w:pos="720"/>
          <w:tab w:val="left" w:pos="1080" w:leader="none"/>
        </w:tabs>
        <w:spacing w:lineRule="auto" w:line="360"/>
        <w:ind w:hanging="360" w:start="1080" w:end="0"/>
        <w:rPr/>
      </w:pPr>
      <w:r>
        <w:rPr/>
        <w:t xml:space="preserve">That the Commission take other and further action in this matter as is in the public interest and consistent with the DWR/SDG&amp;E MOU.  </w:t>
      </w:r>
    </w:p>
    <w:p>
      <w:pPr>
        <w:pStyle w:val="BodyText2"/>
        <w:rPr/>
      </w:pPr>
      <w:r>
        <w:rPr/>
        <w:tab/>
        <w:tab/>
        <w:tab/>
        <w:tab/>
        <w:tab/>
        <w:t>Respectfully Submitted:</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rPr>
                <w:b/>
              </w:rPr>
            </w:pPr>
            <w:r>
              <w:rPr>
                <w:b/>
              </w:rPr>
            </w:r>
          </w:p>
        </w:tc>
        <w:tc>
          <w:tcPr>
            <w:tcW w:w="5238" w:type="dxa"/>
            <w:tcBorders/>
          </w:tcPr>
          <w:p>
            <w:pPr>
              <w:pStyle w:val="Normal"/>
              <w:snapToGrid w:val="false"/>
              <w:rPr>
                <w:b/>
              </w:rPr>
            </w:pPr>
            <w:r>
              <w:rPr>
                <w:b/>
              </w:rPr>
            </w:r>
          </w:p>
          <w:p>
            <w:pPr>
              <w:pStyle w:val="Normal"/>
              <w:rPr/>
            </w:pPr>
            <w:r>
              <w:rPr/>
            </w:r>
          </w:p>
          <w:p>
            <w:pPr>
              <w:pStyle w:val="Normal"/>
              <w:tabs>
                <w:tab w:val="clear" w:pos="720"/>
                <w:tab w:val="left" w:pos="4320" w:leader="none"/>
              </w:tabs>
              <w:rPr/>
            </w:pPr>
            <w:r>
              <w:rPr/>
              <w:t>By___________________________________</w:t>
            </w:r>
            <w:r>
              <w:rPr>
                <w:b/>
              </w:rPr>
              <w:t xml:space="preserve"> Jeffrey M. Parrott </w:t>
            </w:r>
          </w:p>
          <w:p>
            <w:pPr>
              <w:pStyle w:val="Normal"/>
              <w:tabs>
                <w:tab w:val="clear" w:pos="720"/>
                <w:tab w:val="left" w:pos="4320" w:leader="none"/>
              </w:tabs>
              <w:rPr>
                <w:b/>
              </w:rPr>
            </w:pPr>
            <w:r>
              <w:rPr>
                <w:b/>
              </w:rPr>
              <w:t>Keith W. Melville</w:t>
            </w:r>
          </w:p>
          <w:p>
            <w:pPr>
              <w:pStyle w:val="Normal"/>
              <w:tabs>
                <w:tab w:val="clear" w:pos="720"/>
                <w:tab w:val="left" w:pos="4320" w:leader="none"/>
              </w:tabs>
              <w:rPr/>
            </w:pPr>
            <w:r>
              <w:rPr/>
              <w:t>101 Ash Street</w:t>
            </w:r>
          </w:p>
          <w:p>
            <w:pPr>
              <w:pStyle w:val="Normal"/>
              <w:tabs>
                <w:tab w:val="clear" w:pos="720"/>
                <w:tab w:val="left" w:pos="4320" w:leader="none"/>
              </w:tabs>
              <w:rPr/>
            </w:pPr>
            <w:r>
              <w:rPr/>
              <w:t xml:space="preserve">San Diego, California 92101-3017 </w:t>
            </w:r>
          </w:p>
          <w:p>
            <w:pPr>
              <w:pStyle w:val="Normal"/>
              <w:tabs>
                <w:tab w:val="clear" w:pos="720"/>
                <w:tab w:val="left" w:pos="4320" w:leader="none"/>
              </w:tabs>
              <w:rPr/>
            </w:pPr>
            <w:r>
              <w:rPr/>
              <w:t>Telephone:  (619) 699-5063</w:t>
            </w:r>
          </w:p>
          <w:p>
            <w:pPr>
              <w:pStyle w:val="Normal"/>
              <w:tabs>
                <w:tab w:val="clear" w:pos="720"/>
                <w:tab w:val="left" w:pos="4320" w:leader="none"/>
              </w:tabs>
              <w:rPr/>
            </w:pPr>
            <w:r>
              <w:rPr/>
              <w:t>Telephone:  (619) 699-5039</w:t>
            </w:r>
          </w:p>
          <w:p>
            <w:pPr>
              <w:pStyle w:val="Normal"/>
              <w:rPr/>
            </w:pPr>
            <w:r>
              <w:rPr/>
              <w:t>Facsimile:   (619) 699-5027</w:t>
            </w:r>
          </w:p>
          <w:p>
            <w:pPr>
              <w:pStyle w:val="Normal"/>
              <w:rPr/>
            </w:pPr>
            <w:r>
              <w:rPr/>
            </w:r>
          </w:p>
        </w:tc>
      </w:tr>
    </w:tbl>
    <w:p>
      <w:pPr>
        <w:pStyle w:val="Normal"/>
        <w:ind w:start="4320" w:end="0"/>
        <w:rPr>
          <w:b/>
        </w:rPr>
      </w:pPr>
      <w:r>
        <w:rPr>
          <w:b/>
        </w:rPr>
        <w:t>Attorneys for San Diego Gas &amp; Electric Company</w:t>
      </w:r>
    </w:p>
    <w:p>
      <w:pPr>
        <w:pStyle w:val="Normal"/>
        <w:rPr>
          <w:b/>
        </w:rPr>
      </w:pPr>
      <w:r>
        <w:rPr>
          <w:b/>
        </w:rPr>
        <w:t>July 16, 2001</w:t>
      </w:r>
    </w:p>
    <w:p>
      <w:pPr>
        <w:pStyle w:val="Normal"/>
        <w:rPr>
          <w:b/>
        </w:rPr>
      </w:pPr>
      <w:r>
        <w:rPr>
          <w:b/>
        </w:rPr>
      </w:r>
    </w:p>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NewCenturySchlbk">
    <w:altName w:val="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9436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943600" cy="438150"/>
              <wp:effectExtent l="0" t="0" r="0" b="0"/>
              <wp:wrapSquare wrapText="bothSides"/>
              <wp:docPr id="2" name="Frame2"/>
              <a:graphic xmlns:a="http://schemas.openxmlformats.org/drawingml/2006/main">
                <a:graphicData uri="http://schemas.microsoft.com/office/word/2010/wordprocessingShape">
                  <wps:wsp>
                    <wps:cNvSpPr txBox="1"/>
                    <wps:spPr>
                      <a:xfrm>
                        <a:off x="0" y="0"/>
                        <a:ext cx="5943600" cy="438150"/>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34.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FootnoteText">
    <w:name w:val="footnote text"/>
    <w:basedOn w:val="Normal"/>
    <w:pPr>
      <w:spacing w:lineRule="auto" w:line="36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360"/>
    </w:pPr>
    <w:rPr/>
  </w:style>
  <w:style w:type="paragraph" w:styleId="Footer">
    <w:name w:val="footer"/>
    <w:basedOn w:val="Normal"/>
    <w:pPr>
      <w:tabs>
        <w:tab w:val="clear" w:pos="720"/>
        <w:tab w:val="center" w:pos="4320" w:leader="none"/>
        <w:tab w:val="right" w:pos="8640" w:leader="none"/>
      </w:tabs>
      <w:spacing w:lineRule="auto" w:line="360"/>
    </w:pPr>
    <w:rPr/>
  </w:style>
  <w:style w:type="paragraph" w:styleId="BodyText2">
    <w:name w:val="Body Text 2"/>
    <w:basedOn w:val="Normal"/>
    <w:qFormat/>
    <w:pPr>
      <w:spacing w:lineRule="auto" w:line="360"/>
      <w:ind w:firstLine="720" w:start="0" w:end="0"/>
    </w:pPr>
    <w:rPr/>
  </w:style>
  <w:style w:type="paragraph" w:styleId="BodyTextIndent2">
    <w:name w:val="Body Text Indent 2"/>
    <w:basedOn w:val="Normal"/>
    <w:qFormat/>
    <w:pPr>
      <w:spacing w:lineRule="auto" w:line="360"/>
      <w:ind w:firstLine="720" w:start="0" w:end="0"/>
    </w:pPr>
    <w:rPr/>
  </w:style>
  <w:style w:type="paragraph" w:styleId="zCaption">
    <w:name w:val="zCaption"/>
    <w:basedOn w:val="Normal"/>
    <w:qFormat/>
    <w:pPr>
      <w:widowControl w:val="false"/>
    </w:pPr>
    <w:rPr>
      <w:rFonts w:ascii="NewCenturySchlbk;Century Schoolbook" w:hAnsi="NewCenturySchlbk;Century Schoolbook" w:cs="NewCenturySchlbk;Century Schoolbook"/>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2001-07-16T17:31:00Z</dcterms:created>
  <dc:creator>SEMPRA</dc:creator>
  <dc:description/>
  <dc:language>en-CA</dc:language>
  <cp:lastModifiedBy>Sempra</cp:lastModifiedBy>
  <cp:lastPrinted>2000-09-15T14:55:00Z</cp:lastPrinted>
  <dcterms:modified xsi:type="dcterms:W3CDTF">2001-07-16T17:36:00Z</dcterms:modified>
  <cp:revision>3</cp:revision>
  <dc:subject/>
  <dc:title>BEFORE THE PUBLIC UTILITIES COMMISSION</dc:title>
</cp:coreProperties>
</file>