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r>
        <w:rPr>
          <w:sz w:val="48"/>
        </w:rPr>
        <w:tab/>
      </w:r>
    </w:p>
    <w:p>
      <w:pPr>
        <w:pStyle w:val="Caption"/>
        <w:rPr>
          <w:b w:val="false"/>
        </w:rPr>
      </w:pPr>
      <w:r>
        <w:rPr/>
        <w:t>CONFIDENTIAL AND ATTORNEY-CLIENT PRIVILEGED</w:t>
      </w:r>
    </w:p>
    <w:p>
      <w:pPr>
        <w:pStyle w:val="Normal"/>
        <w:pBdr>
          <w:top w:val="single" w:sz="12" w:space="1" w:color="000000"/>
        </w:pBdr>
        <w:tabs>
          <w:tab w:val="clear" w:pos="720"/>
          <w:tab w:val="left" w:pos="1440" w:leader="none"/>
          <w:tab w:val="left" w:pos="5400" w:leader="none"/>
          <w:tab w:val="left" w:pos="6660" w:leader="none"/>
        </w:tabs>
        <w:spacing w:before="120" w:after="0"/>
        <w:ind w:end="-90"/>
        <w:rPr/>
      </w:pPr>
      <w:r>
        <w:rPr>
          <w:b/>
        </w:rPr>
        <w:t>TO:</w:t>
      </w:r>
      <w:r>
        <w:rPr/>
        <w:tab/>
        <w:t>Mark E. Haedicke/ W. Lance Schuler</w:t>
        <w:tab/>
      </w:r>
      <w:r>
        <w:rPr>
          <w:b/>
        </w:rPr>
        <w:t xml:space="preserve">DATE: </w:t>
        <w:tab/>
      </w:r>
      <w:r>
        <w:rPr/>
        <w:t>September 27, 2001</w:t>
        <w:tab/>
      </w:r>
    </w:p>
    <w:p>
      <w:pPr>
        <w:pStyle w:val="Normal"/>
        <w:pBdr>
          <w:top w:val="single" w:sz="12" w:space="1" w:color="000000"/>
        </w:pBdr>
        <w:tabs>
          <w:tab w:val="clear" w:pos="720"/>
          <w:tab w:val="left" w:pos="1440" w:leader="none"/>
          <w:tab w:val="left" w:pos="5400" w:leader="none"/>
          <w:tab w:val="left" w:pos="6660" w:leader="none"/>
        </w:tabs>
        <w:spacing w:before="120" w:after="0"/>
        <w:ind w:hanging="1440" w:start="1440" w:end="-90"/>
        <w:rPr/>
      </w:pPr>
      <w:r>
        <w:rPr>
          <w:b/>
        </w:rPr>
        <w:t>FROM:</w:t>
      </w:r>
      <w:r>
        <w:rPr/>
        <w:tab/>
        <w:t>Cynthia Harkness/Joseph C. Henry</w:t>
        <w:tab/>
      </w:r>
      <w:r>
        <w:rPr>
          <w:b/>
        </w:rPr>
        <w:t xml:space="preserve">DEPARTMENT:  </w:t>
      </w:r>
      <w:r>
        <w:rPr/>
        <w:t>EBS</w:t>
      </w:r>
      <w:r>
        <w:rPr>
          <w:b/>
        </w:rPr>
        <w:t xml:space="preserve"> </w:t>
      </w:r>
      <w:r>
        <w:rPr/>
        <w:t>Legal</w:t>
      </w:r>
    </w:p>
    <w:p>
      <w:pPr>
        <w:pStyle w:val="Normal"/>
        <w:pBdr>
          <w:bottom w:val="single" w:sz="12" w:space="1" w:color="000000"/>
        </w:pBdr>
        <w:spacing w:before="120" w:after="0"/>
        <w:ind w:hanging="1440" w:start="1440" w:end="0"/>
        <w:jc w:val="both"/>
        <w:rPr>
          <w:bCs/>
        </w:rPr>
      </w:pPr>
      <w:r>
        <w:rPr>
          <w:b/>
        </w:rPr>
        <w:t>SUBJECT:</w:t>
        <w:tab/>
      </w:r>
      <w:r>
        <w:rPr>
          <w:bCs/>
        </w:rPr>
        <w:t xml:space="preserve">Legal Risk Memo—Qwest </w:t>
      </w:r>
      <w:r>
        <w:rPr/>
        <w:t>Communications Corporation (“</w:t>
      </w:r>
      <w:r>
        <w:rPr>
          <w:u w:val="single"/>
        </w:rPr>
        <w:t>Qwest</w:t>
      </w:r>
      <w:r>
        <w:rPr/>
        <w:t>”)</w:t>
      </w:r>
    </w:p>
    <w:p>
      <w:pPr>
        <w:pStyle w:val="Normal"/>
        <w:pBdr>
          <w:bottom w:val="single" w:sz="12" w:space="1" w:color="000000"/>
        </w:pBdr>
        <w:spacing w:before="120" w:after="60"/>
        <w:rPr/>
      </w:pPr>
      <w:r>
        <w:rPr>
          <w:b/>
          <w:bCs/>
        </w:rPr>
        <w:t>RISK FACTOR:</w:t>
      </w:r>
      <w:r>
        <w:rPr/>
        <w:tab/>
        <w:t xml:space="preserve">5  </w:t>
        <w:tab/>
        <w:t>(on a scale of 1 to 5, with 5 representing the greatest degree of risk)</w:t>
      </w:r>
    </w:p>
    <w:p>
      <w:pPr>
        <w:pStyle w:val="BodyText"/>
        <w:rPr/>
      </w:pPr>
      <w:r>
        <w:rPr/>
        <w:t>EBS will (1) grant a 25-year indefeasible right of use (“IRU”) in a portion of its dark fiber build to Qwest, (2) purchase a 25-year right to lit capacity from Qwest (the “Capacity”) and (3) settle outstanding claims with Qwest involving IRUs previously granted to Qwest and purchased from Qwest.</w:t>
      </w:r>
    </w:p>
    <w:p>
      <w:pPr>
        <w:pStyle w:val="BodyText"/>
        <w:rPr/>
      </w:pPr>
      <w:r>
        <w:rPr/>
        <w:t>On or about September 30, 2001, Qwest will pay EBS $112MM cash and a note payable of $196MM (the “Note”) for the EBS IRU, for a total purchase price of $308MM.  The Note will be guaranteed by Qwest’s parent, a publicly traded company with BBB+ credit, and will be secured by a letter of credit from a national bank.  Qwest will also agree to assume O&amp;M obligations on the EBS route by year-end or pay annual O&amp;M fees of $4.2MM.  On April 1, 2002, $98MM will be due on the Note, and on September 30, 2002 the remaining $98MM will be due.</w:t>
      </w:r>
    </w:p>
    <w:p>
      <w:pPr>
        <w:pStyle w:val="BodyText"/>
        <w:rPr/>
      </w:pPr>
      <w:r>
        <w:rPr/>
        <w:t>Also on or about September 30, 2001, EBS will pay Qwest $112MM cash as a partial payment on the Capacity and accept a portion of that Capacity.  By September 30, 2002, EBS will pay Qwest an additional $88MM and accept the remainder of the Capacity, subject to satisfactory fiber testing, for a total purchase price of $200MM.</w:t>
      </w:r>
    </w:p>
    <w:p>
      <w:pPr>
        <w:pStyle w:val="BodyText"/>
        <w:rPr/>
      </w:pPr>
      <w:r>
        <w:rPr/>
        <w:t>The claims being settled in connection with the transactions involve (1) IRUs that EBS previously granted to Qwest on EBS’s route (“</w:t>
      </w:r>
      <w:r>
        <w:rPr>
          <w:u w:val="single"/>
        </w:rPr>
        <w:t>EBS IRUs</w:t>
      </w:r>
      <w:r>
        <w:rPr/>
        <w:t>”), which Qwest will retain, and (2) IRUs that Qwest previously granted to EBS (“</w:t>
      </w:r>
      <w:r>
        <w:rPr>
          <w:u w:val="single"/>
        </w:rPr>
        <w:t>Qwest IRUs</w:t>
      </w:r>
      <w:r>
        <w:rPr/>
        <w:t>”), which EBS will now accept and then assign back to Qwest.  EBS will continue to have O&amp;M and collocation obligations to Qwest under the EBS IRUs, and Qwest will continue to have related annual payments.  EBS has previously taken the position that it terminated the Qwest IRUs for Qwest’s failure to perform and that Qwest owes EBS approximately $70MM in connection with the EBS IRUs and Qwest IRUs.  Qwest’s position is that EBS owes it approximately $60MM under these IRUs.  In settling these claims, EBS and Qwest will net payables and receivables under these disputed IRUs and forgive any remaining amounts.</w:t>
      </w:r>
    </w:p>
    <w:p>
      <w:pPr>
        <w:pStyle w:val="Heading2"/>
        <w:ind w:hanging="0" w:start="0"/>
        <w:rPr/>
      </w:pPr>
      <w:r>
        <w:rPr/>
        <w:t>Nonrefundable Prepayment of 25-year Capacity Contract</w:t>
      </w:r>
    </w:p>
    <w:p>
      <w:pPr>
        <w:pStyle w:val="BodyText"/>
        <w:rPr/>
      </w:pPr>
      <w:r>
        <w:rPr/>
        <w:t>This is primarily a credit risk.  EBS will pay $200MM in advance on a 25-year contract.  EBS’ ability to receive any refund under the Capacity Agreement, even for Qwest’s failure to perform, is very limited.  Further, Qwest might be able to reject the Capacity contract in bankruptcy, relieve itself of performance obligations and retain the $112MM (or $200MM) purchase price.  In that case, EBS would have only an unsecured claim for the value of the Capacity lost. This could result in a writedown or complete writeoff of this asset from EBS’s books.  Further, if EBS sells some of the Capacity in the future, it may face damages claims under those sales if Qwest is not providing the Capacity it sold. Mitigating factors are: (1) commercially, the deal has value even if the Capacity is never used (see DASH); (2) EBS will receive a guaranty from Qwest’s parent as to damages suffered by EBS; and (3) if the contract were rejected, EBS would be excused from paying $2MM/year in related O&amp;M fees on the Capacity.</w:t>
      </w:r>
    </w:p>
    <w:p>
      <w:pPr>
        <w:pStyle w:val="Heading2"/>
        <w:ind w:hanging="0" w:start="0"/>
        <w:rPr>
          <w:i w:val="false"/>
          <w:i w:val="false"/>
          <w:iCs w:val="false"/>
        </w:rPr>
      </w:pPr>
      <w:r>
        <w:rPr/>
        <w:t>Nonpayment of Note</w:t>
      </w:r>
    </w:p>
    <w:p>
      <w:pPr>
        <w:pStyle w:val="Normal"/>
        <w:rPr/>
      </w:pPr>
      <w:r>
        <w:rPr/>
        <w:t>If Qwest were to fail to pay the Note, EBS would not have a right to cancel the IRU.  EBS is negotiating for the right of setoff, which would allow it to withhold payment of the $88MM due under the Capacity agreement on September 30, 2002 if the Note is not paid, but that point has yet to be resolved.  The mitigation of this is the parent guaranty and the letter of credit securing payment of the note.  EBS should be able to draw on the letter of credit even if Qwest is in bankruptcy.</w:t>
      </w:r>
    </w:p>
    <w:p>
      <w:pPr>
        <w:pStyle w:val="Heading2"/>
        <w:ind w:hanging="0" w:start="0"/>
        <w:rPr/>
      </w:pPr>
      <w:r>
        <w:rPr/>
        <w:t>Long-term Indemnity Obligations</w:t>
      </w:r>
    </w:p>
    <w:p>
      <w:pPr>
        <w:pStyle w:val="BodyText"/>
        <w:rPr/>
      </w:pPr>
      <w:r>
        <w:rPr/>
        <w:t>Under the IRU to Qwest, EBS will indemnify Qwest potentially for the 25-year life of the IRU for certain matters, including fiber quality and specifications on the date of closing, environmental issues and sufficient rights of way.  This indemnity, which is capped at $154MM, will be guaranteed by Enron Corp.   To mitigate this risk, Enron has the right to transfer title in the IRU fibers to Qwest during the term (terminating the IRU and shortening the indemnities as to those fibers) if it secures rights of way for Qwest.</w:t>
      </w:r>
    </w:p>
    <w:p>
      <w:pPr>
        <w:pStyle w:val="Heading2"/>
        <w:ind w:hanging="0" w:start="0"/>
        <w:rPr/>
      </w:pPr>
      <w:r>
        <w:rPr/>
        <w:t>Acceptance of Capacity Before Testing</w:t>
      </w:r>
    </w:p>
    <w:p>
      <w:pPr>
        <w:pStyle w:val="BodyText"/>
        <w:rPr/>
      </w:pPr>
      <w:r>
        <w:rPr/>
        <w:t>EBS will accept and pay $112MM (nonrefundable) for the first portion under the Capacity agreement without having an opportunity to test it.  This is partly mitigated by outage credits that EBS can credit against its $2MM/year O&amp;M obligations.  This is mitigated by the commercial value of the deal absent the Capacity.</w:t>
      </w:r>
    </w:p>
    <w:p>
      <w:pPr>
        <w:pStyle w:val="Heading2"/>
        <w:ind w:hanging="0" w:start="0"/>
        <w:rPr/>
      </w:pPr>
      <w:r>
        <w:rPr/>
        <w:t>Rejection of IRU by Qwest and Residual O&amp;M Obligations to Customers</w:t>
      </w:r>
    </w:p>
    <w:p>
      <w:pPr>
        <w:pStyle w:val="Normal"/>
        <w:rPr>
          <w:sz w:val="22"/>
        </w:rPr>
      </w:pPr>
      <w:r>
        <w:rPr>
          <w:sz w:val="22"/>
        </w:rPr>
        <w:t xml:space="preserve">If Quest files bankruptcy and rejects the IRU, it may be able to avoid the $4.2 million annual OEM payment obligations to EBS and any other obligations under the IRU.  EBS should be able to retain its fiber in that case, but there may be a book and earnings impact in placing the fiber back on EBS's books.  At that point, EBS should be able to retain the cash payments paid by Qwest and should be able to draw on the letter of credit if the Note had not yet been paid. </w:t>
      </w:r>
    </w:p>
    <w:p>
      <w:pPr>
        <w:pStyle w:val="BodyText"/>
        <w:rPr/>
      </w:pPr>
      <w:r>
        <w:rPr/>
        <w:t>EBS has O&amp;M obligations to existing customers on its build.  The IRU provides that Qwest will either begin performing these obligations January 1, 2002 or begin paying $4.2MM annually for EBS to perform O&amp;M.  However, EBS will remain liable to existing customers to perform O&amp;M if Qwest fails to do so, regardless of whether Qwest pays O&amp;M fees.  In that case, EBS would have only a claim against Qwest for the $4.2MM.  This is mitigated by the Qwest parent guaranty and partly by the income stream of O&amp;M fees EBS has and will retain from its existing customers, but that amount is $1.4MM less than the annual cost of O&amp;M.</w:t>
      </w:r>
    </w:p>
    <w:p>
      <w:pPr>
        <w:pStyle w:val="Heading2"/>
        <w:ind w:hanging="0" w:start="0"/>
        <w:rPr/>
      </w:pPr>
      <w:r>
        <w:rPr/>
        <w:t>Absence of Cross Defaults</w:t>
      </w:r>
    </w:p>
    <w:p>
      <w:pPr>
        <w:pStyle w:val="BodyText"/>
        <w:tabs>
          <w:tab w:val="clear" w:pos="720"/>
          <w:tab w:val="clear" w:pos="1530"/>
          <w:tab w:val="clear" w:pos="5040"/>
          <w:tab w:val="clear" w:pos="6480"/>
        </w:tabs>
        <w:spacing w:before="0" w:after="0"/>
        <w:rPr/>
      </w:pPr>
      <w:r>
        <w:rPr/>
        <w:t>The contracts in this transaction generally do not allow for cross defaults to one another or to other obligations between the parties.  EBS is negotiating for general rights of setoff, but that point has not yet been resolved.</w:t>
      </w:r>
    </w:p>
    <w:p>
      <w:pPr>
        <w:pStyle w:val="Heading2"/>
        <w:ind w:hanging="0" w:start="0"/>
        <w:rPr/>
      </w:pPr>
      <w:r>
        <w:rPr/>
        <w:t>Disclosures</w:t>
      </w:r>
    </w:p>
    <w:p>
      <w:pPr>
        <w:pStyle w:val="BodyText"/>
        <w:tabs>
          <w:tab w:val="clear" w:pos="720"/>
          <w:tab w:val="clear" w:pos="1530"/>
          <w:tab w:val="clear" w:pos="5040"/>
          <w:tab w:val="clear" w:pos="6480"/>
        </w:tabs>
        <w:spacing w:before="0" w:after="0"/>
        <w:rPr/>
      </w:pPr>
      <w:r>
        <w:rPr/>
        <w:t>Certain securities laws and accounting matters associated with the transaction have been discussed with senior management of both EBS and Enron Corp.</w:t>
      </w:r>
    </w:p>
    <w:p>
      <w:pPr>
        <w:pStyle w:val="Normal"/>
        <w:rPr/>
      </w:pPr>
      <w:r>
        <w:rPr/>
        <w:t xml:space="preserve"> </w:t>
      </w:r>
    </w:p>
    <w:p>
      <w:pPr>
        <w:pStyle w:val="Normal"/>
        <w:rPr/>
      </w:pPr>
      <w:r>
        <w:rPr/>
      </w:r>
    </w:p>
    <w:p>
      <w:pPr>
        <w:pStyle w:val="BodyText"/>
        <w:spacing w:before="0" w:after="60"/>
        <w:ind w:hanging="720" w:start="720" w:end="0"/>
        <w:rPr/>
      </w:pPr>
      <w:r>
        <w:rPr/>
        <w:t>cc:</w:t>
        <w:tab/>
        <w:t>Jim Fallon</w:t>
        <w:br/>
        <w:t>Stuart Seeligson</w:t>
        <w:br/>
        <w:t>Jim Brysch</w:t>
      </w:r>
    </w:p>
    <w:sectPr>
      <w:headerReference w:type="default" r:id="rId3"/>
      <w:headerReference w:type="first" r:id="rId4"/>
      <w:type w:val="nextPage"/>
      <w:pgSz w:w="12240" w:h="15840"/>
      <w:pgMar w:left="1440" w:right="144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Mark Haedicke</w:t>
      <w:tab/>
      <w:tab/>
      <w:tab/>
      <w:tab/>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rPr/>
    </w:pPr>
    <w:r>
      <w:rPr/>
      <w:t>Lance Schuler</w:t>
    </w:r>
  </w:p>
  <w:p>
    <w:pPr>
      <w:pStyle w:val="Header"/>
      <w:rPr/>
    </w:pPr>
    <w:r>
      <w:rPr/>
      <w:t>September 27, 2001</w:t>
    </w:r>
  </w:p>
  <w:p>
    <w:pPr>
      <w:pStyle w:val="Header"/>
      <w:tabs>
        <w:tab w:val="center" w:pos="4320" w:leader="none"/>
        <w:tab w:val="right" w:pos="5580" w:leader="none"/>
        <w:tab w:val="right" w:pos="9360" w:leader="none"/>
      </w:tabs>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sz w:val="20"/>
      </w:rPr>
      <w:tab/>
      <w:tab/>
    </w:r>
  </w:p>
  <w:p>
    <w:pPr>
      <w:pStyle w:val="Header"/>
      <w:tabs>
        <w:tab w:val="center" w:pos="4320" w:leader="none"/>
        <w:tab w:val="right" w:pos="5580" w:leader="none"/>
        <w:tab w:val="right" w:pos="9360" w:leader="none"/>
      </w:tabs>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Arial" w:hAnsi="Arial" w:cs="Arial"/>
      <w:b/>
      <w:bCs/>
      <w:kern w:val="2"/>
      <w:szCs w:val="32"/>
    </w:rPr>
  </w:style>
  <w:style w:type="paragraph" w:styleId="Heading2">
    <w:name w:val="heading 2"/>
    <w:basedOn w:val="Normal"/>
    <w:next w:val="Normal"/>
    <w:qFormat/>
    <w:pPr>
      <w:keepNext w:val="true"/>
      <w:numPr>
        <w:ilvl w:val="1"/>
        <w:numId w:val="1"/>
      </w:numPr>
      <w:spacing w:before="0" w:after="60"/>
      <w:outlineLvl w:val="1"/>
    </w:pPr>
    <w:rPr>
      <w:rFonts w:ascii="Arial" w:hAnsi="Arial" w:cs="Arial"/>
      <w:bCs/>
      <w:i/>
      <w:iCs/>
      <w:szCs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spacing w:before="0" w:after="60"/>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200" w:leader="none"/>
      </w:tabs>
      <w:jc w:val="end"/>
    </w:pPr>
    <w:rPr>
      <w:b/>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558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2001-09-25T22:50:00Z</dcterms:created>
  <dc:creator> </dc:creator>
  <dc:description/>
  <dc:language>en-CA</dc:language>
  <cp:lastModifiedBy>Joe Henry</cp:lastModifiedBy>
  <cp:lastPrinted>2001-09-27T19:23:00Z</cp:lastPrinted>
  <dcterms:modified xsi:type="dcterms:W3CDTF">2001-09-27T21:53:00Z</dcterms:modified>
  <cp:revision>15</cp:revision>
  <dc:subject> </dc:subject>
  <dc:title> </dc:title>
</cp:coreProperties>
</file>