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AUGUST 31,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Normal"/>
              <w:rPr/>
            </w:pPr>
            <w:r>
              <w:rPr/>
              <w:t>Michigan Gas Partners, LP  (“MGP”) was formed in November 1993 for the purpose of purchasing and developing three properties in the Antrim Shale play in Northern Michigan.  On 3/31/98 Quicksilver and MGP merged.  Quicksilver began trading on the AMEX on 3/4/99 under the ticker symbol “KWK”, following shareholder approval of its merger with MSR Exploration Ltd. (AMEX: “MSR”).  MSR shareholders received approximately 20% of Quicksilver's shares in the merger.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LEGAL NAME REPRESENTED BY STOCK: </w:t>
      </w:r>
      <w:r>
        <w:rPr/>
        <w:t>Quicksilver Resources, Inc.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TICKER SYMBOL: </w:t>
      </w:r>
      <w:r>
        <w:rPr/>
        <w:t>KWK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STOCK: </w:t>
      </w:r>
      <w:r>
        <w:rPr/>
        <w:t>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TRADING EXCHANGE: </w:t>
      </w:r>
      <w:r>
        <w:rPr/>
        <w:t>AMEX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STRIKE PRICE: </w:t>
      </w:r>
      <w:r>
        <w:rPr/>
        <w:t>$7.625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ab/>
        <w:t xml:space="preserve"> NET – </w:t>
      </w:r>
      <w:r>
        <w:rPr/>
        <w:t>804,243 shares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/mnt/main-storage/datasets/enron-docs/doc/Quicksilver.doc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/mnt/main-storage/datasets/enron-docs/doc/Quicksilver.doc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2000-08-30T22:09:00Z</dcterms:created>
  <dc:creator>mruane</dc:creator>
  <dc:description>MR: 9-20-99 added tax signoff</dc:description>
  <dc:language>en-CA</dc:language>
  <cp:lastModifiedBy>brian schwertner</cp:lastModifiedBy>
  <cp:lastPrinted>2000-08-31T14:19:00Z</cp:lastPrinted>
  <dcterms:modified xsi:type="dcterms:W3CDTF">2000-09-01T18:51:00Z</dcterms:modified>
  <cp:revision>7</cp:revision>
  <dc:subject/>
  <dc:title>ENRON RISK ASSESSMENT AND CONTROL</dc:title>
</cp:coreProperties>
</file>