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for Wednesday Call at 10:00 AM</w:t>
      </w:r>
    </w:p>
    <w:p>
      <w:pPr>
        <w:pStyle w:val="Normal"/>
        <w:jc w:val="center"/>
        <w:rPr>
          <w:b/>
          <w:bCs/>
          <w:sz w:val="32"/>
        </w:rPr>
      </w:pPr>
      <w:r>
        <w:rPr>
          <w:b/>
          <w:bCs/>
          <w:sz w:val="32"/>
        </w:rPr>
        <w:t>10/31/01</w:t>
      </w:r>
    </w:p>
    <w:p>
      <w:pPr>
        <w:pStyle w:val="Normal"/>
        <w:jc w:val="center"/>
        <w:rPr>
          <w:b/>
          <w:bCs/>
          <w:sz w:val="32"/>
        </w:rPr>
      </w:pPr>
      <w:r>
        <w:rPr>
          <w:b/>
          <w:bCs/>
          <w:sz w:val="32"/>
        </w:rPr>
      </w:r>
    </w:p>
    <w:p>
      <w:pPr>
        <w:pStyle w:val="Normal"/>
        <w:autoSpaceDE w:val="false"/>
        <w:rPr>
          <w:rFonts w:ascii="Courier New" w:hAnsi="Courier New" w:cs="Courier New"/>
          <w:b/>
          <w:bCs/>
          <w:sz w:val="20"/>
          <w:szCs w:val="20"/>
        </w:rPr>
      </w:pPr>
      <w:r>
        <w:rPr>
          <w:rFonts w:cs="Courier New" w:ascii="Courier New" w:hAnsi="Courier New"/>
          <w:b/>
          <w:bCs/>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rPr>
          <w:b/>
          <w:bCs/>
          <w:i/>
          <w:i/>
          <w:iCs/>
        </w:rPr>
      </w:pPr>
      <w:r>
        <w:rPr>
          <w:b/>
          <w:bCs/>
          <w:i/>
          <w:iCs/>
        </w:rPr>
        <w:t>Question:  (Tabled From Last Week)</w:t>
      </w:r>
    </w:p>
    <w:p>
      <w:pPr>
        <w:pStyle w:val="Normal"/>
        <w:rPr>
          <w:b/>
          <w:bCs/>
          <w:i/>
          <w:i/>
          <w:iCs/>
        </w:rPr>
      </w:pPr>
      <w:r>
        <w:rPr>
          <w:b/>
          <w:bCs/>
          <w:i/>
          <w:iCs/>
        </w:rPr>
      </w:r>
    </w:p>
    <w:p>
      <w:pPr>
        <w:pStyle w:val="Normal"/>
        <w:autoSpaceDE w:val="false"/>
        <w:rPr/>
      </w:pPr>
      <w:r>
        <w:rPr>
          <w:b/>
          <w:bCs/>
        </w:rPr>
        <w:t xml:space="preserve">1) </w:t>
      </w:r>
      <w:r>
        <w:rPr>
          <w:rFonts w:cs="Courier New" w:ascii="Courier New" w:hAnsi="Courier New"/>
          <w:sz w:val="20"/>
          <w:szCs w:val="20"/>
        </w:rPr>
        <w:t>Question 4 is related to the overall Drop to POLR process.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There is the potential for ERCOT to receive and/or process the 867_02 from the TDSP prior to receiving/processing the 814_04.</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A.  Does ERCOT hold the 867_02 until after it receives and processes the 814_04 and is able to send the 814_14 to the POLR?</w:t>
      </w:r>
    </w:p>
    <w:p>
      <w:pPr>
        <w:pStyle w:val="Normal"/>
        <w:autoSpaceDE w:val="false"/>
        <w:rPr>
          <w:rFonts w:ascii="Courier New" w:hAnsi="Courier New" w:cs="Courier New"/>
          <w:sz w:val="20"/>
          <w:szCs w:val="20"/>
        </w:rPr>
      </w:pPr>
      <w:r>
        <w:rPr>
          <w:rFonts w:cs="Courier New" w:ascii="Courier New" w:hAnsi="Courier New"/>
          <w:sz w:val="20"/>
          <w:szCs w:val="20"/>
        </w:rPr>
      </w:r>
    </w:p>
    <w:p>
      <w:pPr>
        <w:pStyle w:val="BodyText"/>
        <w:rPr/>
      </w:pPr>
      <w:r>
        <w:rPr/>
        <w:t>The following is some of the information I have found from ERCOT’s perspective on this scenario:</w:t>
      </w:r>
    </w:p>
    <w:p>
      <w:pPr>
        <w:pStyle w:val="Normal"/>
        <w:autoSpaceDE w:val="false"/>
        <w:rPr>
          <w:rFonts w:ascii="Courier New" w:hAnsi="Courier New" w:cs="Courier New"/>
          <w:sz w:val="20"/>
          <w:szCs w:val="20"/>
        </w:rPr>
      </w:pPr>
      <w:r>
        <w:rPr>
          <w:rFonts w:cs="Courier New" w:ascii="Courier New" w:hAnsi="Courier New"/>
          <w:sz w:val="20"/>
          <w:szCs w:val="20"/>
        </w:rPr>
        <w:t>There is the potential that the 867_02 can come back from the TDSP prior to the 814_04. It is strictly a pass-through transaction and does not get held until the 814_04 is sent.</w:t>
      </w:r>
    </w:p>
    <w:p>
      <w:pPr>
        <w:pStyle w:val="Normal"/>
        <w:autoSpaceDE w:val="false"/>
        <w:rPr>
          <w:rFonts w:ascii="Courier New" w:hAnsi="Courier New" w:cs="Courier New"/>
          <w:sz w:val="20"/>
          <w:szCs w:val="20"/>
        </w:rPr>
      </w:pPr>
      <w:r>
        <w:rPr>
          <w:rFonts w:cs="Courier New" w:ascii="Courier New" w:hAnsi="Courier New"/>
          <w:sz w:val="20"/>
          <w:szCs w:val="20"/>
        </w:rPr>
        <w:t>None of the information in the 867_02 is required to create the 814_14.</w:t>
      </w:r>
    </w:p>
    <w:p>
      <w:pPr>
        <w:pStyle w:val="Normal"/>
        <w:autoSpaceDE w:val="false"/>
        <w:rPr>
          <w:rFonts w:ascii="Courier New" w:hAnsi="Courier New" w:cs="Courier New"/>
          <w:b/>
          <w:bCs/>
          <w:color w:val="FF0000"/>
          <w:sz w:val="20"/>
          <w:szCs w:val="20"/>
        </w:rPr>
      </w:pPr>
      <w:r>
        <w:rPr>
          <w:rFonts w:cs="Courier New" w:ascii="Courier New" w:hAnsi="Courier New"/>
          <w:b/>
          <w:bCs/>
          <w:color w:val="FF0000"/>
          <w:sz w:val="20"/>
          <w:szCs w:val="20"/>
        </w:rPr>
      </w:r>
    </w:p>
    <w:p>
      <w:pPr>
        <w:pStyle w:val="Normal"/>
        <w:autoSpaceDE w:val="false"/>
        <w:rPr>
          <w:b/>
          <w:bCs/>
          <w:i/>
          <w:i/>
          <w:iCs/>
          <w:color w:val="FF0000"/>
        </w:rPr>
      </w:pPr>
      <w:r>
        <w:rPr>
          <w:b/>
          <w:bCs/>
          <w:i/>
          <w:iCs/>
          <w:color w:val="FF0000"/>
        </w:rPr>
      </w:r>
    </w:p>
    <w:p>
      <w:pPr>
        <w:pStyle w:val="Normal"/>
        <w:autoSpaceDE w:val="false"/>
        <w:rPr>
          <w:b/>
          <w:bCs/>
          <w:i/>
          <w:i/>
          <w:iCs/>
        </w:rPr>
      </w:pPr>
      <w:r>
        <w:rPr>
          <w:b/>
          <w:bCs/>
          <w:i/>
          <w:iCs/>
        </w:rPr>
        <w:t>Question:  (Tabled From Last Week)</w:t>
      </w:r>
    </w:p>
    <w:p>
      <w:pPr>
        <w:pStyle w:val="Normal"/>
        <w:autoSpaceDE w:val="false"/>
        <w:rPr/>
      </w:pPr>
      <w:r>
        <w:rPr>
          <w:b/>
          <w:bCs/>
        </w:rPr>
        <w:t xml:space="preserve">2)  </w:t>
      </w:r>
      <w:r>
        <w:rPr>
          <w:rFonts w:cs="Courier New" w:ascii="Courier New" w:hAnsi="Courier New"/>
          <w:sz w:val="20"/>
          <w:szCs w:val="20"/>
        </w:rPr>
        <w:t>We are looking for assistance from SET in determining the appropriate</w:t>
      </w:r>
    </w:p>
    <w:p>
      <w:pPr>
        <w:pStyle w:val="Normal"/>
        <w:autoSpaceDE w:val="false"/>
        <w:rPr>
          <w:rFonts w:ascii="Courier New" w:hAnsi="Courier New" w:cs="Courier New"/>
          <w:sz w:val="20"/>
          <w:szCs w:val="20"/>
        </w:rPr>
      </w:pPr>
      <w:r>
        <w:rPr>
          <w:rFonts w:cs="Courier New" w:ascii="Courier New" w:hAnsi="Courier New"/>
          <w:sz w:val="20"/>
          <w:szCs w:val="20"/>
        </w:rPr>
        <w:t>resolution so that we can provide the correct information to the CR so the CR can match the 867_03 information to the 810_02.</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PLEASE REFER TO WORD DOC&gt; UNMETERED DEVICE DESCRIPTION</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b/>
          <w:bCs/>
          <w:i/>
          <w:i/>
          <w:iCs/>
        </w:rPr>
      </w:pPr>
      <w:r>
        <w:rPr>
          <w:b/>
          <w:bCs/>
          <w:i/>
          <w:iCs/>
        </w:rPr>
        <w:t xml:space="preserve">Question:  </w:t>
      </w:r>
    </w:p>
    <w:p>
      <w:pPr>
        <w:pStyle w:val="Normal"/>
        <w:autoSpaceDE w:val="false"/>
        <w:rPr/>
      </w:pPr>
      <w:r>
        <w:rPr>
          <w:b/>
          <w:bCs/>
        </w:rPr>
        <w:t xml:space="preserve">3)  </w:t>
      </w:r>
      <w:r>
        <w:rPr>
          <w:rFonts w:cs="Courier New" w:ascii="Courier New" w:hAnsi="Courier New"/>
          <w:sz w:val="20"/>
          <w:szCs w:val="20"/>
        </w:rPr>
        <w:t xml:space="preserve">The following is from the gray box of the BGN06 of the 650_02.   Could I please get an explanation/clarification of number 1?  </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This number will be tracked in the BGN06 through the lifecycle of the</w:t>
      </w:r>
    </w:p>
    <w:p>
      <w:pPr>
        <w:pStyle w:val="Normal"/>
        <w:autoSpaceDE w:val="false"/>
        <w:rPr>
          <w:rFonts w:ascii="Courier New" w:hAnsi="Courier New" w:cs="Courier New"/>
          <w:sz w:val="20"/>
          <w:szCs w:val="20"/>
        </w:rPr>
      </w:pPr>
      <w:r>
        <w:rPr>
          <w:rFonts w:cs="Courier New" w:ascii="Courier New" w:hAnsi="Courier New"/>
          <w:sz w:val="20"/>
          <w:szCs w:val="20"/>
        </w:rPr>
        <w:t>Service Order Request Process.</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For Cancel and Change (Update) transactions, also note:</w:t>
      </w:r>
    </w:p>
    <w:p>
      <w:pPr>
        <w:pStyle w:val="Normal"/>
        <w:autoSpaceDE w:val="false"/>
        <w:rPr>
          <w:rFonts w:ascii="Courier New" w:hAnsi="Courier New" w:cs="Courier New"/>
          <w:sz w:val="20"/>
          <w:szCs w:val="20"/>
        </w:rPr>
      </w:pPr>
      <w:r>
        <w:rPr>
          <w:rFonts w:cs="Courier New" w:ascii="Courier New" w:hAnsi="Courier New"/>
          <w:sz w:val="20"/>
          <w:szCs w:val="20"/>
        </w:rPr>
        <w:t>1. If the original service order was not yet executed, the service order will be updated and the response will be to the Canceled or Changed (Updated) service order. The response will be to the original Request not to the Cancel or Update.</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2. If the original service order was completed, the TDSP will respond to the original service order and also respond to the Cancel or Change (Update)transaction indicating that the Cancel or Change (Update) is rejected (BGN08="U"), with Rejection Reason of Work in Progress/Completed (REF~7G = WIP).</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t>Rosemary M. Freeman</w:t>
      </w:r>
    </w:p>
    <w:p>
      <w:pPr>
        <w:pStyle w:val="Normal"/>
        <w:autoSpaceDE w:val="false"/>
        <w:rPr>
          <w:rFonts w:ascii="Courier New" w:hAnsi="Courier New" w:cs="Courier New"/>
          <w:b/>
          <w:bCs/>
          <w:sz w:val="20"/>
          <w:szCs w:val="20"/>
        </w:rPr>
      </w:pPr>
      <w:r>
        <w:rPr>
          <w:rFonts w:cs="Courier New" w:ascii="Courier New" w:hAnsi="Courier New"/>
          <w:b/>
          <w:bCs/>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autoSpaceDE w:val="false"/>
    </w:pPr>
    <w:rPr>
      <w:b/>
      <w:bCs/>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2001-10-01T12:12:00Z</dcterms:created>
  <dc:creator>dodle</dc:creator>
  <dc:description/>
  <dc:language>en-CA</dc:language>
  <cp:lastModifiedBy>dodle</cp:lastModifiedBy>
  <dcterms:modified xsi:type="dcterms:W3CDTF">2001-10-29T17:47:00Z</dcterms:modified>
  <cp:revision>35</cp:revision>
  <dc:subject/>
  <dc:title>Questions for Wednesday Call at 10:00 AM</dc:title>
</cp:coreProperties>
</file>