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for Murray O’Neil</w:t>
      </w:r>
    </w:p>
    <w:p>
      <w:pPr>
        <w:pStyle w:val="Normal"/>
        <w:tabs>
          <w:tab w:val="clear" w:pos="1134"/>
          <w:tab w:val="left" w:pos="270" w:leader="none"/>
          <w:tab w:val="left" w:pos="810" w:leader="none"/>
          <w:tab w:val="left" w:pos="3420" w:leader="none"/>
        </w:tabs>
        <w:ind w:end="2"/>
        <w:rPr/>
      </w:pPr>
      <w:r>
        <w:rPr/>
      </w:r>
    </w:p>
    <w:p>
      <w:pPr>
        <w:pStyle w:val="Normal"/>
        <w:tabs>
          <w:tab w:val="clear" w:pos="1134"/>
          <w:tab w:val="left" w:pos="270" w:leader="none"/>
          <w:tab w:val="left" w:pos="810" w:leader="none"/>
          <w:tab w:val="left" w:pos="3420" w:leader="none"/>
        </w:tabs>
        <w:ind w:end="2"/>
        <w:rPr/>
      </w:pPr>
      <w:r>
        <w:rPr/>
      </w:r>
    </w:p>
    <w:p>
      <w:pPr>
        <w:pStyle w:val="Normal"/>
        <w:numPr>
          <w:ilvl w:val="0"/>
          <w:numId w:val="16"/>
        </w:numPr>
        <w:tabs>
          <w:tab w:val="clear" w:pos="1134"/>
          <w:tab w:val="left" w:pos="360" w:leader="none"/>
          <w:tab w:val="left" w:pos="3420" w:leader="none"/>
        </w:tabs>
        <w:ind w:hanging="360" w:start="360" w:end="2"/>
        <w:rPr/>
      </w:pPr>
      <w:r>
        <w:rPr/>
        <w:t>Let’s discuss how the change from 1 hour to 10 minute interval data received from the ISO in relation to settling with the counterparties will be managed.</w:t>
      </w:r>
    </w:p>
    <w:p>
      <w:pPr>
        <w:pStyle w:val="Normal"/>
        <w:tabs>
          <w:tab w:val="clear" w:pos="1134"/>
          <w:tab w:val="left" w:pos="3420" w:leader="none"/>
        </w:tabs>
        <w:ind w:end="2"/>
        <w:rPr/>
      </w:pPr>
      <w:r>
        <w:rPr/>
      </w:r>
    </w:p>
    <w:p>
      <w:pPr>
        <w:pStyle w:val="Normal"/>
        <w:numPr>
          <w:ilvl w:val="0"/>
          <w:numId w:val="16"/>
        </w:numPr>
        <w:tabs>
          <w:tab w:val="clear" w:pos="1134"/>
          <w:tab w:val="left" w:pos="360" w:leader="none"/>
          <w:tab w:val="left" w:pos="3420" w:leader="none"/>
        </w:tabs>
        <w:ind w:hanging="360" w:start="360" w:end="2"/>
        <w:rPr/>
      </w:pPr>
      <w:r>
        <w:rPr/>
        <w:t>Please provide a list of customers for which we provide SC services.</w:t>
      </w:r>
    </w:p>
    <w:p>
      <w:pPr>
        <w:pStyle w:val="Normal"/>
        <w:tabs>
          <w:tab w:val="clear" w:pos="1134"/>
          <w:tab w:val="left" w:pos="360" w:leader="none"/>
          <w:tab w:val="left" w:pos="810" w:leader="none"/>
          <w:tab w:val="left" w:pos="3420" w:leader="none"/>
        </w:tabs>
        <w:ind w:hanging="360" w:start="360" w:end="2"/>
        <w:rPr/>
      </w:pPr>
      <w:r>
        <w:rPr/>
      </w:r>
    </w:p>
    <w:p>
      <w:pPr>
        <w:pStyle w:val="Normal"/>
        <w:numPr>
          <w:ilvl w:val="0"/>
          <w:numId w:val="16"/>
        </w:numPr>
        <w:tabs>
          <w:tab w:val="clear" w:pos="1134"/>
          <w:tab w:val="left" w:pos="360" w:leader="none"/>
          <w:tab w:val="left" w:pos="3420" w:leader="none"/>
        </w:tabs>
        <w:ind w:hanging="360" w:start="360" w:end="2"/>
        <w:rPr/>
      </w:pPr>
      <w:r>
        <w:rPr/>
        <w:t>What is the process of verifying the accuracy of the meter data received from EES or any other ESP?</w:t>
      </w:r>
    </w:p>
    <w:p>
      <w:pPr>
        <w:pStyle w:val="Normal"/>
        <w:tabs>
          <w:tab w:val="clear" w:pos="1134"/>
          <w:tab w:val="left" w:pos="3420" w:leader="none"/>
        </w:tabs>
        <w:ind w:end="2"/>
        <w:rPr/>
      </w:pPr>
      <w:r>
        <w:rPr/>
      </w:r>
    </w:p>
    <w:p>
      <w:pPr>
        <w:pStyle w:val="Normal"/>
        <w:numPr>
          <w:ilvl w:val="0"/>
          <w:numId w:val="16"/>
        </w:numPr>
        <w:tabs>
          <w:tab w:val="clear" w:pos="1134"/>
          <w:tab w:val="left" w:pos="360" w:leader="none"/>
          <w:tab w:val="left" w:pos="3420" w:leader="none"/>
        </w:tabs>
        <w:ind w:hanging="360" w:start="360" w:end="2"/>
        <w:rPr/>
      </w:pPr>
      <w:r>
        <w:rPr/>
        <w:t>What is the typical dollar amount settled with the ISO on a monthly basis?</w:t>
      </w:r>
    </w:p>
    <w:p>
      <w:pPr>
        <w:pStyle w:val="Normal"/>
        <w:tabs>
          <w:tab w:val="clear" w:pos="1134"/>
          <w:tab w:val="left" w:pos="3420" w:leader="none"/>
        </w:tabs>
        <w:ind w:end="2"/>
        <w:rPr/>
      </w:pPr>
      <w:r>
        <w:rPr/>
      </w:r>
    </w:p>
    <w:p>
      <w:pPr>
        <w:pStyle w:val="Normal"/>
        <w:numPr>
          <w:ilvl w:val="0"/>
          <w:numId w:val="16"/>
        </w:numPr>
        <w:tabs>
          <w:tab w:val="clear" w:pos="1134"/>
          <w:tab w:val="left" w:pos="360" w:leader="none"/>
          <w:tab w:val="left" w:pos="3420" w:leader="none"/>
        </w:tabs>
        <w:ind w:hanging="360" w:start="360" w:end="2"/>
        <w:rPr/>
      </w:pPr>
      <w:r>
        <w:rPr/>
        <w:t>Where are you in the process of billing counterparties (i.e., have you finished invoicing for March as discussed in the conference call)?</w:t>
      </w:r>
    </w:p>
    <w:p>
      <w:pPr>
        <w:pStyle w:val="Normal"/>
        <w:tabs>
          <w:tab w:val="clear" w:pos="1134"/>
          <w:tab w:val="left" w:pos="360" w:leader="none"/>
          <w:tab w:val="left" w:pos="810" w:leader="none"/>
          <w:tab w:val="left" w:pos="3420" w:leader="none"/>
        </w:tabs>
        <w:ind w:hanging="360" w:start="360" w:end="2"/>
        <w:rPr/>
      </w:pPr>
      <w:r>
        <w:rPr/>
      </w:r>
    </w:p>
    <w:p>
      <w:pPr>
        <w:pStyle w:val="Normal"/>
        <w:numPr>
          <w:ilvl w:val="0"/>
          <w:numId w:val="16"/>
        </w:numPr>
        <w:tabs>
          <w:tab w:val="clear" w:pos="1134"/>
          <w:tab w:val="left" w:pos="360" w:leader="none"/>
          <w:tab w:val="left" w:pos="3420" w:leader="none"/>
        </w:tabs>
        <w:ind w:hanging="360" w:start="360" w:end="2"/>
        <w:rPr/>
      </w:pPr>
      <w:r>
        <w:rPr/>
        <w:t>What is the dollar amount Enron has paid the ISO that has not yet been billed to the applicable counterparties?</w:t>
      </w:r>
    </w:p>
    <w:p>
      <w:pPr>
        <w:pStyle w:val="Normal"/>
        <w:tabs>
          <w:tab w:val="clear" w:pos="1134"/>
          <w:tab w:val="left" w:pos="360" w:leader="none"/>
          <w:tab w:val="left" w:pos="3420" w:leader="none"/>
        </w:tabs>
        <w:ind w:hanging="360" w:start="360" w:end="2"/>
        <w:rPr/>
      </w:pPr>
      <w:r>
        <w:rPr/>
      </w:r>
    </w:p>
    <w:p>
      <w:pPr>
        <w:pStyle w:val="Normal"/>
        <w:numPr>
          <w:ilvl w:val="0"/>
          <w:numId w:val="16"/>
        </w:numPr>
        <w:tabs>
          <w:tab w:val="clear" w:pos="1134"/>
          <w:tab w:val="left" w:pos="360" w:leader="none"/>
          <w:tab w:val="left" w:pos="3420" w:leader="none"/>
        </w:tabs>
        <w:ind w:hanging="360" w:start="360" w:end="2"/>
        <w:rPr/>
      </w:pPr>
      <w:r>
        <w:rPr/>
        <w:t>Let’s discuss how the offset of the ISO activity is booked if we have not yet settled with the counterparties.</w:t>
      </w:r>
    </w:p>
    <w:p>
      <w:pPr>
        <w:pStyle w:val="Normal"/>
        <w:tabs>
          <w:tab w:val="clear" w:pos="1134"/>
          <w:tab w:val="left" w:pos="360" w:leader="none"/>
          <w:tab w:val="left" w:pos="3420" w:leader="none"/>
        </w:tabs>
        <w:ind w:hanging="360" w:start="360" w:end="2"/>
        <w:rPr/>
      </w:pPr>
      <w:r>
        <w:rPr/>
      </w:r>
    </w:p>
    <w:p>
      <w:pPr>
        <w:pStyle w:val="Normal"/>
        <w:numPr>
          <w:ilvl w:val="0"/>
          <w:numId w:val="16"/>
        </w:numPr>
        <w:tabs>
          <w:tab w:val="clear" w:pos="1134"/>
          <w:tab w:val="left" w:pos="360" w:leader="none"/>
          <w:tab w:val="left" w:pos="3420" w:leader="none"/>
        </w:tabs>
        <w:ind w:hanging="360" w:start="360" w:end="2"/>
        <w:rPr/>
      </w:pPr>
      <w:r>
        <w:rPr/>
        <w:t>How is this activity flashed on the DPR since settlement is delayed?</w:t>
      </w:r>
    </w:p>
    <w:p>
      <w:pPr>
        <w:pStyle w:val="Normal"/>
        <w:tabs>
          <w:tab w:val="clear" w:pos="1134"/>
          <w:tab w:val="left" w:pos="360" w:leader="none"/>
          <w:tab w:val="left" w:pos="3420" w:leader="none"/>
        </w:tabs>
        <w:ind w:hanging="360" w:start="360" w:end="2"/>
        <w:rPr/>
      </w:pPr>
      <w:r>
        <w:rPr/>
      </w:r>
    </w:p>
    <w:p>
      <w:pPr>
        <w:pStyle w:val="Normal"/>
        <w:numPr>
          <w:ilvl w:val="0"/>
          <w:numId w:val="16"/>
        </w:numPr>
        <w:tabs>
          <w:tab w:val="clear" w:pos="1134"/>
          <w:tab w:val="left" w:pos="360" w:leader="none"/>
          <w:tab w:val="left" w:pos="3420" w:leader="none"/>
        </w:tabs>
        <w:ind w:hanging="360" w:start="360" w:end="2"/>
        <w:rPr/>
      </w:pPr>
      <w:r>
        <w:rPr/>
        <w:t xml:space="preserve">What is the extent and nature of ISO activity? Please discuss in detail the ISO deal flow from execution to invoicing the end-user, including the settlement process with the ISO and whether disbursements and receipts occur in Portland. </w:t>
      </w:r>
    </w:p>
    <w:p>
      <w:pPr>
        <w:pStyle w:val="Normal"/>
        <w:tabs>
          <w:tab w:val="clear" w:pos="1134"/>
          <w:tab w:val="left" w:pos="360" w:leader="none"/>
          <w:tab w:val="left" w:pos="3420" w:leader="none"/>
        </w:tabs>
        <w:ind w:hanging="360" w:start="360" w:end="2"/>
        <w:rPr/>
      </w:pPr>
      <w:r>
        <w:rPr/>
      </w:r>
    </w:p>
    <w:p>
      <w:pPr>
        <w:pStyle w:val="Normal"/>
        <w:numPr>
          <w:ilvl w:val="0"/>
          <w:numId w:val="16"/>
        </w:numPr>
        <w:tabs>
          <w:tab w:val="clear" w:pos="1134"/>
          <w:tab w:val="left" w:pos="360" w:leader="none"/>
        </w:tabs>
        <w:ind w:hanging="360" w:start="360" w:end="2"/>
        <w:rPr/>
      </w:pPr>
      <w:r>
        <w:rPr/>
        <w:t>What is the regular communication between Portland and Houston personnel supporting ISO activities in Houston? What reports does Portland provide to the Houston office for settlements? Please provide copies of such reports and applicable support.</w:t>
      </w:r>
    </w:p>
    <w:p>
      <w:pPr>
        <w:pStyle w:val="BodyText2"/>
        <w:tabs>
          <w:tab w:val="left" w:pos="360" w:leader="none"/>
          <w:tab w:val="left" w:pos="1134" w:leader="none"/>
        </w:tabs>
        <w:ind w:hanging="360" w:start="360" w:end="2"/>
        <w:rPr/>
      </w:pPr>
      <w:r>
        <w:rPr/>
      </w:r>
    </w:p>
    <w:p>
      <w:pPr>
        <w:pStyle w:val="BodyText2"/>
        <w:numPr>
          <w:ilvl w:val="0"/>
          <w:numId w:val="16"/>
        </w:numPr>
        <w:tabs>
          <w:tab w:val="left" w:pos="1134" w:leader="none"/>
          <w:tab w:val="left" w:pos="9360" w:leader="none"/>
        </w:tabs>
        <w:ind w:hanging="360" w:start="360" w:end="2"/>
        <w:rPr/>
      </w:pPr>
      <w:r>
        <w:rPr/>
        <w:t>For our testing, we will select a sample of ISO deals and will require the following deal support:</w:t>
      </w:r>
    </w:p>
    <w:p>
      <w:pPr>
        <w:pStyle w:val="BodyText2"/>
        <w:tabs>
          <w:tab w:val="left" w:pos="270" w:leader="none"/>
          <w:tab w:val="left" w:pos="1134" w:leader="none"/>
        </w:tabs>
        <w:ind w:hanging="180" w:start="180" w:end="2"/>
        <w:rPr/>
      </w:pPr>
      <w:r>
        <w:rPr/>
      </w:r>
    </w:p>
    <w:p>
      <w:pPr>
        <w:pStyle w:val="Normal"/>
        <w:numPr>
          <w:ilvl w:val="0"/>
          <w:numId w:val="15"/>
        </w:numPr>
        <w:tabs>
          <w:tab w:val="clear" w:pos="1134"/>
          <w:tab w:val="left" w:pos="540" w:leader="none"/>
          <w:tab w:val="left" w:pos="1170" w:leader="none"/>
        </w:tabs>
        <w:ind w:hanging="450" w:start="1170" w:end="2"/>
        <w:rPr/>
      </w:pPr>
      <w:r>
        <w:rPr/>
        <w:t xml:space="preserve">ISO documentation, including ISO invoice, preliminary statement and final statement, as applicable </w:t>
      </w:r>
    </w:p>
    <w:p>
      <w:pPr>
        <w:pStyle w:val="Normal"/>
        <w:numPr>
          <w:ilvl w:val="0"/>
          <w:numId w:val="15"/>
        </w:numPr>
        <w:tabs>
          <w:tab w:val="clear" w:pos="1134"/>
          <w:tab w:val="left" w:pos="540" w:leader="none"/>
          <w:tab w:val="left" w:pos="1170" w:leader="none"/>
        </w:tabs>
        <w:ind w:hanging="450" w:start="1170" w:end="2"/>
        <w:rPr/>
      </w:pPr>
      <w:r>
        <w:rPr/>
        <w:t>Proof of deal capture in the applicable capture system (CAPS/VMS)</w:t>
      </w:r>
    </w:p>
    <w:p>
      <w:pPr>
        <w:pStyle w:val="Normal"/>
        <w:numPr>
          <w:ilvl w:val="0"/>
          <w:numId w:val="15"/>
        </w:numPr>
        <w:tabs>
          <w:tab w:val="clear" w:pos="1134"/>
          <w:tab w:val="left" w:pos="360" w:leader="none"/>
          <w:tab w:val="left" w:pos="540" w:leader="none"/>
          <w:tab w:val="left" w:pos="1170" w:leader="none"/>
        </w:tabs>
        <w:ind w:hanging="450" w:start="1170" w:end="2"/>
        <w:rPr/>
      </w:pPr>
      <w:r>
        <w:rPr/>
        <w:t>Proof of payment made or received from the ISO and end-user (check or wire)</w:t>
      </w:r>
    </w:p>
    <w:p>
      <w:pPr>
        <w:pStyle w:val="Normal"/>
        <w:numPr>
          <w:ilvl w:val="0"/>
          <w:numId w:val="15"/>
        </w:numPr>
        <w:tabs>
          <w:tab w:val="clear" w:pos="1134"/>
          <w:tab w:val="left" w:pos="360" w:leader="none"/>
          <w:tab w:val="left" w:pos="540" w:leader="none"/>
          <w:tab w:val="left" w:pos="1170" w:leader="none"/>
        </w:tabs>
        <w:ind w:hanging="450" w:start="1170" w:end="2"/>
        <w:rPr/>
      </w:pPr>
      <w:r>
        <w:rPr/>
        <w:t>Applicable invoices sent to 3</w:t>
      </w:r>
      <w:r>
        <w:rPr>
          <w:vertAlign w:val="superscript"/>
        </w:rPr>
        <w:t>rd</w:t>
      </w:r>
      <w:r>
        <w:rPr/>
        <w:t xml:space="preserve"> parties</w:t>
      </w:r>
    </w:p>
    <w:p>
      <w:pPr>
        <w:pStyle w:val="Normal"/>
        <w:numPr>
          <w:ilvl w:val="0"/>
          <w:numId w:val="15"/>
        </w:numPr>
        <w:tabs>
          <w:tab w:val="clear" w:pos="1134"/>
          <w:tab w:val="left" w:pos="360" w:leader="none"/>
          <w:tab w:val="left" w:pos="540" w:leader="none"/>
          <w:tab w:val="left" w:pos="1170" w:leader="none"/>
          <w:tab w:val="left" w:pos="3883" w:leader="none"/>
        </w:tabs>
        <w:ind w:hanging="450" w:start="1170" w:end="2"/>
        <w:rPr/>
      </w:pPr>
      <w:r>
        <w:rPr/>
        <w:t>Volume scheduling documentation</w:t>
      </w:r>
    </w:p>
    <w:p>
      <w:pPr>
        <w:pStyle w:val="Normal"/>
        <w:numPr>
          <w:ilvl w:val="0"/>
          <w:numId w:val="15"/>
        </w:numPr>
        <w:tabs>
          <w:tab w:val="clear" w:pos="1134"/>
          <w:tab w:val="left" w:pos="360" w:leader="none"/>
          <w:tab w:val="left" w:pos="540" w:leader="none"/>
          <w:tab w:val="left" w:pos="1170" w:leader="none"/>
          <w:tab w:val="left" w:pos="3883" w:leader="none"/>
        </w:tabs>
        <w:ind w:hanging="450" w:start="1170" w:end="2"/>
        <w:rPr/>
      </w:pPr>
      <w:r>
        <w:rPr/>
        <w:t>Proof of payment for ancillary services</w:t>
      </w:r>
    </w:p>
    <w:p>
      <w:pPr>
        <w:pStyle w:val="Normal"/>
        <w:numPr>
          <w:ilvl w:val="0"/>
          <w:numId w:val="15"/>
        </w:numPr>
        <w:tabs>
          <w:tab w:val="clear" w:pos="1134"/>
          <w:tab w:val="left" w:pos="360" w:leader="none"/>
          <w:tab w:val="left" w:pos="540" w:leader="none"/>
          <w:tab w:val="left" w:pos="1170" w:leader="none"/>
          <w:tab w:val="left" w:pos="3883" w:leader="none"/>
        </w:tabs>
        <w:ind w:hanging="450" w:start="1170" w:end="2"/>
        <w:rPr/>
      </w:pPr>
      <w:r>
        <w:rPr/>
        <w:t>Booking of ISO A/R or A/P and corresponding 3</w:t>
      </w:r>
      <w:r>
        <w:rPr>
          <w:vertAlign w:val="superscript"/>
        </w:rPr>
        <w:t>rd</w:t>
      </w:r>
      <w:r>
        <w:rPr/>
        <w:t xml:space="preserve"> party AR/AP</w:t>
      </w:r>
    </w:p>
    <w:p>
      <w:pPr>
        <w:pStyle w:val="Normal"/>
        <w:tabs>
          <w:tab w:val="left" w:pos="270" w:leader="none"/>
          <w:tab w:val="left" w:pos="1134" w:leader="none"/>
          <w:tab w:val="left" w:pos="3883" w:leader="none"/>
        </w:tabs>
        <w:ind w:hanging="180" w:start="180" w:end="2"/>
        <w:rPr/>
      </w:pPr>
      <w:r>
        <w:rPr/>
      </w:r>
    </w:p>
    <w:p>
      <w:pPr>
        <w:pStyle w:val="Normal"/>
        <w:numPr>
          <w:ilvl w:val="0"/>
          <w:numId w:val="16"/>
        </w:numPr>
        <w:tabs>
          <w:tab w:val="left" w:pos="1134" w:leader="none"/>
          <w:tab w:val="left" w:pos="3600" w:leader="none"/>
          <w:tab w:val="left" w:pos="3883" w:leader="none"/>
        </w:tabs>
        <w:ind w:hanging="360" w:start="360" w:end="2"/>
        <w:rPr/>
      </w:pPr>
      <w:r>
        <w:rPr/>
        <w:t xml:space="preserve">How do you ensure that the energy transmission charges are properly allocated and invoiced to customers? </w:t>
      </w:r>
    </w:p>
    <w:sectPr>
      <w:headerReference w:type="default" r:id="rId2"/>
      <w:headerReference w:type="first" r:id="rId3"/>
      <w:footerReference w:type="default" r:id="rId4"/>
      <w:footerReference w:type="first" r:id="rId5"/>
      <w:type w:val="nextPage"/>
      <w:pgSz w:w="12240" w:h="15840"/>
      <w:pgMar w:left="1440" w:right="1440" w:gutter="0" w:header="1191" w:top="1620"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upperLetter"/>
      <w:lvlText w:val="%1."/>
      <w:lvlJc w:val="start"/>
      <w:pPr>
        <w:tabs>
          <w:tab w:val="num" w:pos="2700"/>
        </w:tabs>
        <w:ind w:start="2700" w:hanging="720"/>
      </w:pPr>
      <w:rPr/>
    </w:lvl>
  </w:abstractNum>
  <w:abstractNum w:abstractNumId="1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Wingdings" w:hAnsi="Wingdings" w:cs="Wingdings"/>
    </w:rPr>
  </w:style>
  <w:style w:type="character" w:styleId="WW8Num24z0">
    <w:name w:val="WW8Num24z0"/>
    <w:qFormat/>
    <w:rPr>
      <w:rFonts w:ascii="Symbol" w:hAnsi="Symbol" w:cs="Symbol"/>
      <w:color w:val="auto"/>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sz w:val="16"/>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color w:val="auto"/>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7z0">
    <w:name w:val="WW8Num47z0"/>
    <w:qFormat/>
    <w:rPr>
      <w:rFonts w:ascii="Symbol" w:hAnsi="Symbol" w:cs="Symbol"/>
      <w:color w:val="auto"/>
    </w:rPr>
  </w:style>
  <w:style w:type="character" w:styleId="WW8Num49z0">
    <w:name w:val="WW8Num49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5z0">
    <w:name w:val="WW8Num55z0"/>
    <w:qFormat/>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tabs>
        <w:tab w:val="clear" w:pos="1134"/>
        <w:tab w:val="left" w:pos="270" w:leader="none"/>
        <w:tab w:val="left" w:pos="810" w:leader="none"/>
        <w:tab w:val="left" w:pos="3420" w:leader="none"/>
      </w:tabs>
      <w:ind w:hanging="0" w:start="0" w:end="2"/>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BlockText">
    <w:name w:val="Block Text"/>
    <w:basedOn w:val="Normal"/>
    <w:qFormat/>
    <w:pPr>
      <w:tabs>
        <w:tab w:val="clear" w:pos="1134"/>
        <w:tab w:val="left" w:pos="-90" w:leader="none"/>
        <w:tab w:val="left" w:pos="0" w:leader="none"/>
      </w:tabs>
      <w:ind w:hanging="0" w:start="-90" w:end="2160"/>
    </w:pPr>
    <w:rPr/>
  </w:style>
  <w:style w:type="paragraph" w:styleId="BodyText2">
    <w:name w:val="Body Text 2"/>
    <w:basedOn w:val="Normal"/>
    <w:qFormat/>
    <w:pPr>
      <w:ind w:hanging="0" w:start="0" w:end="216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2001-06-12T14:27:00Z</dcterms:created>
  <dc:creator>Jennifer L. Muse</dc:creator>
  <dc:description/>
  <dc:language>en-CA</dc:language>
  <cp:lastModifiedBy>Jennifer L. Muse</cp:lastModifiedBy>
  <cp:lastPrinted>2001-06-12T12:39:00Z</cp:lastPrinted>
  <dcterms:modified xsi:type="dcterms:W3CDTF">2001-06-15T13:00:00Z</dcterms:modified>
  <cp:revision>5</cp:revision>
  <dc:subject/>
  <dc:title>Questions for Murry O’Neil</dc:title>
</cp:coreProperties>
</file>