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Enron</w:t>
      </w:r>
    </w:p>
    <w:p>
      <w:pPr>
        <w:pStyle w:val="Normal"/>
        <w:rPr/>
      </w:pPr>
      <w:r>
        <w:rPr/>
      </w:r>
    </w:p>
    <w:p>
      <w:pPr>
        <w:pStyle w:val="Normal"/>
        <w:rPr/>
      </w:pPr>
      <w:r>
        <w:rPr/>
        <w:t>Cc:</w:t>
        <w:tab/>
        <w:t>Bracewell</w:t>
      </w:r>
    </w:p>
    <w:p>
      <w:pPr>
        <w:pStyle w:val="Normal"/>
        <w:rPr/>
      </w:pPr>
      <w:r>
        <w:rPr/>
      </w:r>
    </w:p>
    <w:p>
      <w:pPr>
        <w:pStyle w:val="Normal"/>
        <w:rPr/>
      </w:pPr>
      <w:r>
        <w:rPr/>
        <w:t xml:space="preserve">Re: </w:t>
        <w:tab/>
        <w:t>Project Raven</w:t>
      </w:r>
    </w:p>
    <w:p>
      <w:pPr>
        <w:pStyle w:val="Normal"/>
        <w:rPr/>
      </w:pPr>
      <w:r>
        <w:rPr/>
      </w:r>
    </w:p>
    <w:p>
      <w:pPr>
        <w:pStyle w:val="Normal"/>
        <w:rPr/>
      </w:pPr>
      <w:r>
        <w:rPr/>
        <w:t>We have had an initial discussion with our credit group and want to confirm the following:</w:t>
      </w:r>
    </w:p>
    <w:p>
      <w:pPr>
        <w:pStyle w:val="Normal"/>
        <w:rPr/>
      </w:pPr>
      <w:r>
        <w:rPr/>
      </w:r>
    </w:p>
    <w:p>
      <w:pPr>
        <w:pStyle w:val="Normal"/>
        <w:numPr>
          <w:ilvl w:val="0"/>
          <w:numId w:val="1"/>
        </w:numPr>
        <w:rPr/>
      </w:pPr>
      <w:r>
        <w:rPr/>
        <w:t>There is no termination risk to lenders due to the initial overfunding of principal and accrued interest, i.e. the principal amount of the notes is $60m, while the lenders will fund $70 million.  The $10 million is the difference (“Shortfall”) between CSC paying 11% and the lenders charging approx. 8% and amortizes over time.</w:t>
      </w:r>
    </w:p>
    <w:p>
      <w:pPr>
        <w:pStyle w:val="Normal"/>
        <w:rPr/>
      </w:pPr>
      <w:r>
        <w:rPr/>
      </w:r>
    </w:p>
    <w:p>
      <w:pPr>
        <w:pStyle w:val="Normal"/>
        <w:numPr>
          <w:ilvl w:val="0"/>
          <w:numId w:val="1"/>
        </w:numPr>
        <w:rPr/>
      </w:pPr>
      <w:r>
        <w:rPr/>
        <w:t>CSC’s ability to net out payments due under the Deferred Base Purchase (“DBP”) and Premium Payment (“PP”) versus annual revenues has been taken out of the deal.  Looks like this is the case per amendment 1.</w:t>
      </w:r>
    </w:p>
    <w:p>
      <w:pPr>
        <w:pStyle w:val="Normal"/>
        <w:rPr/>
      </w:pPr>
      <w:r>
        <w:rPr/>
      </w:r>
    </w:p>
    <w:p>
      <w:pPr>
        <w:pStyle w:val="Normal"/>
        <w:numPr>
          <w:ilvl w:val="0"/>
          <w:numId w:val="1"/>
        </w:numPr>
        <w:rPr/>
      </w:pPr>
      <w:r>
        <w:rPr/>
        <w:t>CSC will make payments direct to a lock box account per the side letter.  Enron will not change this side letter without banks consent.</w:t>
      </w:r>
    </w:p>
    <w:p>
      <w:pPr>
        <w:pStyle w:val="Normal"/>
        <w:rPr/>
      </w:pPr>
      <w:r>
        <w:rPr/>
      </w:r>
    </w:p>
    <w:p>
      <w:pPr>
        <w:pStyle w:val="Normal"/>
        <w:numPr>
          <w:ilvl w:val="0"/>
          <w:numId w:val="1"/>
        </w:numPr>
        <w:rPr/>
      </w:pPr>
      <w:r>
        <w:rPr/>
        <w:t>A termination will not result in a loss to lenders as CSC must pay the balance of the DBP and PP and Enron will make up any Shortfall.</w:t>
      </w:r>
    </w:p>
    <w:p>
      <w:pPr>
        <w:pStyle w:val="Normal"/>
        <w:rPr/>
      </w:pPr>
      <w:r>
        <w:rPr/>
      </w:r>
    </w:p>
    <w:p>
      <w:pPr>
        <w:pStyle w:val="Normal"/>
        <w:numPr>
          <w:ilvl w:val="0"/>
          <w:numId w:val="1"/>
        </w:numPr>
        <w:rPr/>
      </w:pPr>
      <w:r>
        <w:rPr/>
        <w:t>The transaction structure does not require the lenders to purchase Certificates.</w:t>
      </w:r>
    </w:p>
    <w:p>
      <w:pPr>
        <w:pStyle w:val="Normal"/>
        <w:rPr/>
      </w:pPr>
      <w:r>
        <w:rPr/>
      </w:r>
    </w:p>
    <w:p>
      <w:pPr>
        <w:pStyle w:val="Normal"/>
        <w:numPr>
          <w:ilvl w:val="0"/>
          <w:numId w:val="1"/>
        </w:numPr>
        <w:rPr/>
      </w:pPr>
      <w:r>
        <w:rPr/>
        <w:t>In order to maintain an expected A rating, Barclays (or sufficiently rated institution) will provide the revolving credit facility, interest rate swap, and front for Enron on the Shortfall.   Enron will cover any swap breakage cost and any shortfall on the liquidity revolver versus CSC’s accrued interest (should not be any).</w:t>
      </w:r>
    </w:p>
    <w:p>
      <w:pPr>
        <w:pStyle w:val="Normal"/>
        <w:rPr/>
      </w:pPr>
      <w:r>
        <w:rPr/>
      </w:r>
    </w:p>
    <w:p>
      <w:pPr>
        <w:pStyle w:val="Normal"/>
        <w:numPr>
          <w:ilvl w:val="0"/>
          <w:numId w:val="1"/>
        </w:numPr>
        <w:rPr/>
      </w:pPr>
      <w:r>
        <w:rPr/>
        <w:t>What is the tax/accounting reason for CSC not paying cash up front.</w:t>
      </w:r>
    </w:p>
    <w:p>
      <w:pPr>
        <w:pStyle w:val="Normal"/>
        <w:rPr/>
      </w:pPr>
      <w:r>
        <w:rPr/>
      </w:r>
    </w:p>
    <w:p>
      <w:pPr>
        <w:pStyle w:val="Normal"/>
        <w:numPr>
          <w:ilvl w:val="0"/>
          <w:numId w:val="1"/>
        </w:numPr>
        <w:rPr/>
      </w:pPr>
      <w:r>
        <w:rPr/>
        <w:t>Confirm that the concept of Deferred Revenue has no impact on lenders.</w:t>
      </w:r>
    </w:p>
    <w:p>
      <w:pPr>
        <w:pStyle w:val="Normal"/>
        <w:rPr/>
      </w:pPr>
      <w:r>
        <w:rPr/>
      </w:r>
    </w:p>
    <w:p>
      <w:pPr>
        <w:pStyle w:val="Normal"/>
        <w:numPr>
          <w:ilvl w:val="0"/>
          <w:numId w:val="1"/>
        </w:numPr>
        <w:rPr/>
      </w:pPr>
      <w:r>
        <w:rPr/>
        <w:t>Who are some of the existing customers which CSC is servicing besides Enron.</w:t>
      </w:r>
    </w:p>
    <w:p>
      <w:pPr>
        <w:pStyle w:val="Normal"/>
        <w:rPr/>
      </w:pPr>
      <w:r>
        <w:rPr/>
      </w:r>
    </w:p>
    <w:p>
      <w:pPr>
        <w:pStyle w:val="Normal"/>
        <w:numPr>
          <w:ilvl w:val="0"/>
          <w:numId w:val="1"/>
        </w:numPr>
        <w:rPr/>
      </w:pPr>
      <w:r>
        <w:rPr/>
        <w:t>A Force Majeure event will not impact CSC or Enron obligations under this financing.</w:t>
      </w:r>
    </w:p>
    <w:p>
      <w:pPr>
        <w:pStyle w:val="Normal"/>
        <w:rPr/>
      </w:pPr>
      <w:r>
        <w:rPr/>
      </w:r>
    </w:p>
    <w:p>
      <w:pPr>
        <w:pStyle w:val="Normal"/>
        <w:numPr>
          <w:ilvl w:val="0"/>
          <w:numId w:val="1"/>
        </w:numPr>
        <w:rPr/>
      </w:pPr>
      <w:r>
        <w:rPr/>
        <w:t>We have not seen the stock purchase agreement.</w:t>
      </w:r>
    </w:p>
    <w:p>
      <w:pPr>
        <w:pStyle w:val="Normal"/>
        <w:rPr/>
      </w:pPr>
      <w:r>
        <w:rPr/>
      </w:r>
    </w:p>
    <w:p>
      <w:pPr>
        <w:pStyle w:val="Normal"/>
        <w:numPr>
          <w:ilvl w:val="0"/>
          <w:numId w:val="1"/>
        </w:numPr>
        <w:rPr/>
      </w:pPr>
      <w:r>
        <w:rPr/>
        <w:t>We will be indemnified by Enron for any change in the 11% or the highest rate permitted by applicable law.</w:t>
      </w:r>
    </w:p>
    <w:p>
      <w:pPr>
        <w:pStyle w:val="Normal"/>
        <w:rPr/>
      </w:pPr>
      <w:r>
        <w:rPr/>
      </w:r>
    </w:p>
    <w:p>
      <w:pPr>
        <w:pStyle w:val="Normal"/>
        <w:numPr>
          <w:ilvl w:val="0"/>
          <w:numId w:val="1"/>
        </w:numPr>
        <w:rPr/>
      </w:pPr>
      <w:r>
        <w:rPr/>
        <w:t>If there is a change in control or bankruptcy at CSC, the lenders can compel Enron to call a termination event.</w:t>
      </w:r>
    </w:p>
    <w:p>
      <w:pPr>
        <w:pStyle w:val="Normal"/>
        <w:rPr/>
      </w:pPr>
      <w:r>
        <w:rPr/>
      </w:r>
    </w:p>
    <w:p>
      <w:pPr>
        <w:pStyle w:val="Normal"/>
        <w:numPr>
          <w:ilvl w:val="0"/>
          <w:numId w:val="1"/>
        </w:numPr>
        <w:rPr/>
      </w:pPr>
      <w:r>
        <w:rPr/>
        <w:t>Termination for Insolvency covers the Parties and the Parent companies.</w:t>
      </w:r>
    </w:p>
    <w:p>
      <w:pPr>
        <w:pStyle w:val="Normal"/>
        <w:rPr/>
      </w:pPr>
      <w:r>
        <w:rPr/>
      </w:r>
    </w:p>
    <w:p>
      <w:pPr>
        <w:pStyle w:val="Normal"/>
        <w:numPr>
          <w:ilvl w:val="0"/>
          <w:numId w:val="1"/>
        </w:numPr>
        <w:rPr/>
      </w:pPr>
      <w:r>
        <w:rPr/>
        <w:t>All fees will be paid from proceeds raised and do not need to be included in the model’s cash flows.</w:t>
      </w:r>
    </w:p>
    <w:p>
      <w:pPr>
        <w:pStyle w:val="Normal"/>
        <w:rPr/>
      </w:pPr>
      <w:r>
        <w:rPr/>
      </w:r>
    </w:p>
    <w:p>
      <w:pPr>
        <w:pStyle w:val="Normal"/>
        <w:rPr/>
      </w:pPr>
      <w:r>
        <w:rPr/>
      </w:r>
    </w:p>
    <w:p>
      <w:pPr>
        <w:pStyle w:val="Normal"/>
        <w:rPr/>
      </w:pPr>
      <w:r>
        <w:rPr/>
        <w:t>Re: Amendment 1</w:t>
      </w:r>
    </w:p>
    <w:p>
      <w:pPr>
        <w:pStyle w:val="Normal"/>
        <w:rPr/>
      </w:pPr>
      <w:r>
        <w:rPr/>
      </w:r>
    </w:p>
    <w:p>
      <w:pPr>
        <w:pStyle w:val="Normal"/>
        <w:numPr>
          <w:ilvl w:val="0"/>
          <w:numId w:val="1"/>
        </w:numPr>
        <w:rPr/>
      </w:pPr>
      <w:r>
        <w:rPr/>
        <w:t>Under Point 2 and 9.  Why the discussion of Minimum Volumes.  This should have no impact on CSC’s obligation to pay the DBP or PP.</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1999-12-13T05:51:00Z</dcterms:created>
  <dc:creator>Barclays Capital</dc:creator>
  <dc:description/>
  <dc:language>en-CA</dc:language>
  <cp:lastModifiedBy>Barclays Capital</cp:lastModifiedBy>
  <dcterms:modified xsi:type="dcterms:W3CDTF">1999-12-13T06:21:00Z</dcterms:modified>
  <cp:revision>2</cp:revision>
  <dc:subject/>
  <dc:title>To:</dc:title>
</cp:coreProperties>
</file>